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spacing w:beforeAutospacing="0" w:afterAutospacing="0" w:line="560" w:lineRule="exact"/>
        <w:jc w:val="center"/>
        <w:rPr>
          <w:rFonts w:ascii="方正小标宋简体" w:hAnsi="方正小标宋简体" w:eastAsia="方正小标宋简体" w:cs="方正小标宋简体"/>
          <w:bCs/>
          <w:color w:val="333333"/>
          <w:sz w:val="44"/>
          <w:szCs w:val="44"/>
          <w:shd w:val="clear" w:color="auto" w:fill="FFFFFF"/>
        </w:rPr>
      </w:pPr>
    </w:p>
    <w:p>
      <w:pPr>
        <w:pStyle w:val="5"/>
        <w:widowControl/>
        <w:shd w:val="clear" w:color="auto" w:fill="FFFFFF"/>
        <w:spacing w:beforeAutospacing="0" w:afterAutospacing="0" w:line="560" w:lineRule="exact"/>
        <w:jc w:val="center"/>
        <w:rPr>
          <w:rFonts w:hint="eastAsia" w:ascii="方正小标宋简体" w:hAnsi="Calibri" w:eastAsia="方正小标宋简体"/>
          <w:kern w:val="2"/>
          <w:sz w:val="44"/>
          <w:szCs w:val="44"/>
        </w:rPr>
      </w:pPr>
      <w:r>
        <w:rPr>
          <w:rFonts w:hint="eastAsia" w:ascii="方正小标宋简体" w:hAnsi="Calibri" w:eastAsia="方正小标宋简体"/>
          <w:kern w:val="2"/>
          <w:sz w:val="44"/>
          <w:szCs w:val="44"/>
        </w:rPr>
        <w:t>聊城市住房和城乡建设局</w:t>
      </w:r>
    </w:p>
    <w:p>
      <w:pPr>
        <w:pStyle w:val="5"/>
        <w:widowControl/>
        <w:shd w:val="clear" w:color="auto" w:fill="FFFFFF"/>
        <w:spacing w:beforeAutospacing="0" w:afterAutospacing="0" w:line="560" w:lineRule="exact"/>
        <w:jc w:val="center"/>
        <w:rPr>
          <w:rFonts w:hint="eastAsia" w:ascii="方正小标宋简体" w:hAnsi="Calibri" w:eastAsia="方正小标宋简体"/>
          <w:kern w:val="2"/>
          <w:sz w:val="44"/>
          <w:szCs w:val="44"/>
        </w:rPr>
      </w:pPr>
      <w:r>
        <w:rPr>
          <w:rFonts w:hint="eastAsia" w:ascii="方正小标宋简体" w:hAnsi="Calibri" w:eastAsia="方正小标宋简体"/>
          <w:kern w:val="2"/>
          <w:sz w:val="44"/>
          <w:szCs w:val="44"/>
        </w:rPr>
        <w:t>2023年政府信息公开工作年度报告</w:t>
      </w:r>
    </w:p>
    <w:p>
      <w:pPr>
        <w:pStyle w:val="5"/>
        <w:widowControl/>
        <w:shd w:val="clear" w:color="auto" w:fill="FFFFFF"/>
        <w:spacing w:beforeAutospacing="0" w:afterAutospacing="0"/>
        <w:ind w:firstLine="420"/>
        <w:jc w:val="both"/>
        <w:rPr>
          <w:rFonts w:ascii="宋体" w:hAnsi="宋体" w:eastAsia="宋体" w:cs="宋体"/>
          <w:color w:val="333333"/>
          <w:szCs w:val="24"/>
        </w:rPr>
      </w:pPr>
    </w:p>
    <w:p>
      <w:pPr>
        <w:pStyle w:val="5"/>
        <w:widowControl/>
        <w:shd w:val="clear" w:color="auto" w:fill="FFFFFF"/>
        <w:spacing w:beforeAutospacing="0" w:afterAutospacing="0"/>
        <w:ind w:firstLine="420"/>
        <w:jc w:val="both"/>
        <w:rPr>
          <w:rFonts w:ascii="宋体" w:hAnsi="宋体" w:eastAsia="宋体" w:cs="宋体"/>
          <w:color w:val="333333"/>
          <w:szCs w:val="24"/>
        </w:rPr>
      </w:pPr>
    </w:p>
    <w:p>
      <w:pPr>
        <w:spacing w:line="560" w:lineRule="exact"/>
        <w:ind w:firstLine="600" w:firstLineChars="200"/>
        <w:rPr>
          <w:rFonts w:ascii="FangSong_GB2312" w:hAnsi="FangSong_GB2312" w:eastAsia="FangSong_GB2312" w:cs="FangSong_GB2312"/>
          <w:sz w:val="30"/>
          <w:szCs w:val="30"/>
        </w:rPr>
      </w:pPr>
      <w:r>
        <w:rPr>
          <w:rFonts w:hint="eastAsia" w:ascii="FangSong_GB2312" w:hAnsi="FangSong_GB2312" w:eastAsia="FangSong_GB2312" w:cs="FangSong_GB2312"/>
          <w:sz w:val="30"/>
          <w:szCs w:val="30"/>
        </w:rPr>
        <w:t>根据《中华人民共和国政府信息公开条例》（国务院令第711 号，以下简称《条例》）和《国务院办公厅政府信息与政务公开办公室关于印发&lt;中华人民共和国政府信</w:t>
      </w:r>
      <w:bookmarkStart w:id="10" w:name="_GoBack"/>
      <w:bookmarkEnd w:id="10"/>
      <w:r>
        <w:rPr>
          <w:rFonts w:hint="eastAsia" w:ascii="FangSong_GB2312" w:hAnsi="FangSong_GB2312" w:eastAsia="FangSong_GB2312" w:cs="FangSong_GB2312"/>
          <w:sz w:val="30"/>
          <w:szCs w:val="30"/>
        </w:rPr>
        <w:t>息公开工作年度报告格式&gt;的通知》（国办公开办函〔2021〕30 号）有关要求，发布聊城市住房和城乡建设局2023年政府信息公开工作年度报告。</w:t>
      </w:r>
    </w:p>
    <w:p>
      <w:pPr>
        <w:spacing w:line="560" w:lineRule="exact"/>
        <w:ind w:firstLine="600" w:firstLineChars="200"/>
        <w:rPr>
          <w:rFonts w:ascii="FangSong_GB2312" w:hAnsi="FangSong_GB2312" w:eastAsia="FangSong_GB2312" w:cs="FangSong_GB2312"/>
          <w:sz w:val="30"/>
          <w:szCs w:val="30"/>
        </w:rPr>
      </w:pPr>
      <w:r>
        <w:rPr>
          <w:rFonts w:hint="eastAsia" w:ascii="FangSong_GB2312" w:hAnsi="FangSong_GB2312" w:eastAsia="FangSong_GB2312" w:cs="FangSong_GB2312"/>
          <w:sz w:val="30"/>
          <w:szCs w:val="30"/>
        </w:rPr>
        <w:t>本报告包括总体情况、主动公开政府信息情况、收到和处理政府信息公开申请情况、因政府信息公开工作被申请行政复议、提起行政诉讼情况、存在的主要问题及改进情况、其他需要报告的事项等六个部分。报告中所列数据统计期限自2023年1月1日起至12月31日止。</w:t>
      </w:r>
    </w:p>
    <w:p>
      <w:pPr>
        <w:pStyle w:val="5"/>
        <w:widowControl/>
        <w:shd w:val="clear" w:color="auto" w:fill="FFFFFF"/>
        <w:spacing w:beforeAutospacing="0" w:afterAutospacing="0"/>
        <w:ind w:firstLine="640" w:firstLineChars="200"/>
        <w:jc w:val="both"/>
        <w:rPr>
          <w:rFonts w:hint="eastAsia" w:ascii="黑体" w:hAnsi="黑体" w:eastAsia="黑体" w:cs="黑体"/>
          <w:bCs/>
          <w:color w:val="333333"/>
          <w:sz w:val="32"/>
          <w:szCs w:val="32"/>
          <w:shd w:val="clear" w:color="auto" w:fill="FFFFFF"/>
        </w:rPr>
      </w:pPr>
      <w:r>
        <w:rPr>
          <w:rFonts w:hint="eastAsia" w:ascii="黑体" w:hAnsi="黑体" w:eastAsia="黑体" w:cs="黑体"/>
          <w:bCs/>
          <w:color w:val="333333"/>
          <w:sz w:val="32"/>
          <w:szCs w:val="32"/>
          <w:shd w:val="clear" w:color="auto" w:fill="FFFFFF"/>
        </w:rPr>
        <w:t>一、总体情况</w:t>
      </w:r>
    </w:p>
    <w:p>
      <w:pPr>
        <w:spacing w:line="560" w:lineRule="exact"/>
        <w:ind w:firstLine="600" w:firstLineChars="200"/>
        <w:rPr>
          <w:rFonts w:hint="eastAsia"/>
        </w:rPr>
      </w:pPr>
      <w:r>
        <w:rPr>
          <w:rFonts w:hint="eastAsia" w:ascii="FangSong_GB2312" w:hAnsi="FangSong_GB2312" w:eastAsia="FangSong_GB2312" w:cs="FangSong_GB2312"/>
          <w:sz w:val="30"/>
          <w:szCs w:val="30"/>
        </w:rPr>
        <w:t>2023年，市住建局政务公开工作紧紧围绕市委、市政府、山东省住房和城乡建设厅的有关要求，在市政府政务公开办公室的具体指导下，加强组织领导，健全工作机制，认真落实《聊城市人民政府办公室关于印发聊城市2023年政务公开工作要点的通知》，加大重点领域信息公开，进一步提高政策解读和舆论引导水平，提升政务公开质量和水平，较好发挥了政府信息公开在助力住房城乡建设事业发展、促进建设法治机关、服务群众生产生活中的作用。</w:t>
      </w:r>
    </w:p>
    <w:p>
      <w:pPr>
        <w:pStyle w:val="5"/>
        <w:widowControl/>
        <w:numPr>
          <w:ilvl w:val="0"/>
          <w:numId w:val="1"/>
        </w:numPr>
        <w:shd w:val="clear" w:color="auto" w:fill="FFFFFF"/>
        <w:spacing w:beforeAutospacing="0" w:afterAutospacing="0" w:line="555" w:lineRule="atLeast"/>
        <w:ind w:firstLine="480"/>
        <w:jc w:val="both"/>
        <w:rPr>
          <w:rFonts w:ascii="FangSong_GB2312" w:hAnsi="FangSong_GB2312" w:eastAsia="FangSong_GB2312" w:cs="FangSong_GB2312"/>
          <w:sz w:val="30"/>
          <w:szCs w:val="30"/>
        </w:rPr>
      </w:pPr>
      <w:r>
        <w:rPr>
          <w:rFonts w:hint="eastAsia" w:ascii="FangSong_GB2312" w:hAnsi="FangSong_GB2312" w:eastAsia="FangSong_GB2312" w:cs="FangSong_GB2312"/>
          <w:color w:val="000000"/>
          <w:sz w:val="30"/>
          <w:szCs w:val="30"/>
          <w:shd w:val="clear" w:color="auto" w:fill="FFFFFF"/>
        </w:rPr>
        <w:t>主动公开方面。一是做好政府信息公开。在官方门户网站持续更新政府信息公开、新闻工作动态、政策法规、通知公告、互动交流、专题专栏、财政信息等法定主动公开内容，共计1838条，全站2023年独立用户访问总量达27万多次，网站总访问量达77万多次。二是加强重点民生领域方面的政策信息公开。及时发布棚户区改造、租赁补贴、人才住房、老旧小区和房地产信息等重点民生领域信息公开。三是及时做好新媒体信息发布。</w:t>
      </w:r>
      <w:r>
        <w:rPr>
          <w:rFonts w:hint="eastAsia" w:ascii="FangSong_GB2312" w:hAnsi="FangSong_GB2312" w:eastAsia="FangSong_GB2312" w:cs="FangSong_GB2312"/>
          <w:sz w:val="30"/>
          <w:szCs w:val="30"/>
        </w:rPr>
        <w:t>“聊城住建”官方微信公众号发布信息717篇；“聊城住建”官方微博发布信息145条；全年共参与市委、市政府组织的新闻发布会</w:t>
      </w:r>
      <w:r>
        <w:rPr>
          <w:rFonts w:hint="eastAsia" w:ascii="FangSong_GB2312" w:hAnsi="FangSong_GB2312" w:eastAsia="FangSong_GB2312" w:cs="FangSong_GB2312"/>
          <w:color w:val="FF0000"/>
          <w:sz w:val="30"/>
          <w:szCs w:val="30"/>
        </w:rPr>
        <w:t xml:space="preserve"> </w:t>
      </w:r>
      <w:r>
        <w:rPr>
          <w:rFonts w:hint="eastAsia" w:ascii="FangSong_GB2312" w:hAnsi="FangSong_GB2312" w:eastAsia="FangSong_GB2312" w:cs="FangSong_GB2312"/>
          <w:sz w:val="30"/>
          <w:szCs w:val="30"/>
        </w:rPr>
        <w:t>6场。</w:t>
      </w:r>
    </w:p>
    <w:p>
      <w:pPr>
        <w:spacing w:line="560" w:lineRule="exact"/>
        <w:ind w:firstLine="600" w:firstLineChars="200"/>
        <w:rPr>
          <w:rFonts w:ascii="FangSong_GB2312" w:hAnsi="FangSong_GB2312" w:eastAsia="FangSong_GB2312" w:cs="FangSong_GB2312"/>
          <w:sz w:val="30"/>
          <w:szCs w:val="30"/>
        </w:rPr>
      </w:pPr>
      <w:r>
        <w:rPr>
          <w:rFonts w:hint="eastAsia" w:ascii="FangSong_GB2312" w:hAnsi="FangSong_GB2312" w:eastAsia="FangSong_GB2312" w:cs="FangSong_GB2312"/>
          <w:color w:val="000000"/>
          <w:sz w:val="30"/>
          <w:szCs w:val="30"/>
          <w:shd w:val="clear" w:color="auto" w:fill="FFFFFF"/>
        </w:rPr>
        <w:t>（二）依申请公开方面。2023年共受理政府信息公开申请事项65件，</w:t>
      </w:r>
      <w:r>
        <w:rPr>
          <w:rFonts w:hint="eastAsia" w:ascii="FangSong_GB2312" w:hAnsi="FangSong_GB2312" w:eastAsia="FangSong_GB2312" w:cs="FangSong_GB2312"/>
          <w:sz w:val="30"/>
          <w:szCs w:val="30"/>
        </w:rPr>
        <w:t>严格按照《条例》等有关规定进行办理和答复，涉及领域包括房屋征收、小区物业、房地产信息和质量监督等方面，办理过程中统筹把握答复期限，及时做好督促催办工作，沟通率、办复率、满意率实现100%。</w:t>
      </w:r>
    </w:p>
    <w:p>
      <w:pPr>
        <w:pStyle w:val="5"/>
        <w:widowControl/>
        <w:shd w:val="clear" w:color="auto" w:fill="FFFFFF"/>
        <w:spacing w:beforeAutospacing="0" w:afterAutospacing="0" w:line="555" w:lineRule="atLeast"/>
        <w:ind w:firstLine="480"/>
        <w:jc w:val="both"/>
        <w:rPr>
          <w:rFonts w:ascii="FangSong_GB2312" w:hAnsi="FangSong_GB2312" w:eastAsia="FangSong_GB2312" w:cs="FangSong_GB2312"/>
          <w:color w:val="333333"/>
          <w:sz w:val="30"/>
          <w:szCs w:val="30"/>
        </w:rPr>
      </w:pPr>
      <w:r>
        <w:rPr>
          <w:rFonts w:hint="eastAsia" w:ascii="FangSong_GB2312" w:hAnsi="FangSong_GB2312" w:eastAsia="FangSong_GB2312" w:cs="FangSong_GB2312"/>
          <w:color w:val="000000"/>
          <w:sz w:val="30"/>
          <w:szCs w:val="30"/>
          <w:shd w:val="clear" w:color="auto" w:fill="FFFFFF"/>
        </w:rPr>
        <w:t>（三）政府信息管理方面。政府信息严格按照人民政府政务公开办信息发布的格式要求发布在政府信息公开专栏。根据2023年聊城政务公开工作的要点，及时调整修订</w:t>
      </w:r>
      <w:r>
        <w:rPr>
          <w:rFonts w:hint="eastAsia" w:ascii="FangSong_GB2312" w:hAnsi="FangSong_GB2312" w:eastAsia="FangSong_GB2312" w:cs="FangSong_GB2312"/>
          <w:sz w:val="30"/>
          <w:szCs w:val="30"/>
        </w:rPr>
        <w:t>《主动公开基本目录》并实时发布。2023年共制发2件规范性文件，并通过文稿、简明问答、图文解读等方式同步解读</w:t>
      </w:r>
      <w:r>
        <w:rPr>
          <w:rFonts w:hint="eastAsia" w:ascii="FangSong_GB2312" w:hAnsi="FangSong_GB2312" w:eastAsia="FangSong_GB2312" w:cs="FangSong_GB2312"/>
          <w:color w:val="000000"/>
          <w:sz w:val="30"/>
          <w:szCs w:val="30"/>
          <w:shd w:val="clear" w:color="auto" w:fill="FFFFFF"/>
        </w:rPr>
        <w:t>并对外公开。建立健全动态更新工作机制，及时清理并公布规范性文件清理结果。加强组织领导，合理确定公开方式，制定了</w:t>
      </w:r>
      <w:r>
        <w:rPr>
          <w:rFonts w:hint="eastAsia" w:ascii="FangSong_GB2312" w:hAnsi="FangSong_GB2312" w:eastAsia="FangSong_GB2312" w:cs="FangSong_GB2312"/>
          <w:sz w:val="30"/>
          <w:szCs w:val="30"/>
        </w:rPr>
        <w:t>《聊城市住建局政务公开制度》</w:t>
      </w:r>
      <w:r>
        <w:rPr>
          <w:rFonts w:hint="eastAsia" w:ascii="FangSong_GB2312" w:hAnsi="FangSong_GB2312" w:eastAsia="FangSong_GB2312" w:cs="FangSong_GB2312"/>
          <w:color w:val="000000"/>
          <w:sz w:val="30"/>
          <w:szCs w:val="30"/>
          <w:shd w:val="clear" w:color="auto" w:fill="FFFFFF"/>
        </w:rPr>
        <w:t>，公开信息领导审核合格后对外公开。</w:t>
      </w:r>
    </w:p>
    <w:p>
      <w:pPr>
        <w:spacing w:line="560" w:lineRule="exact"/>
        <w:ind w:firstLine="600" w:firstLineChars="200"/>
        <w:rPr>
          <w:rFonts w:ascii="FangSong_GB2312" w:hAnsi="FangSong_GB2312" w:eastAsia="FangSong_GB2312" w:cs="FangSong_GB2312"/>
          <w:color w:val="0000FF"/>
          <w:sz w:val="30"/>
          <w:szCs w:val="30"/>
        </w:rPr>
      </w:pPr>
      <w:r>
        <w:rPr>
          <w:rFonts w:hint="eastAsia" w:ascii="FangSong_GB2312" w:hAnsi="FangSong_GB2312" w:eastAsia="FangSong_GB2312" w:cs="FangSong_GB2312"/>
          <w:color w:val="000000"/>
          <w:sz w:val="30"/>
          <w:szCs w:val="30"/>
          <w:shd w:val="clear" w:color="auto" w:fill="FFFFFF"/>
        </w:rPr>
        <w:t>（四）</w:t>
      </w:r>
      <w:r>
        <w:rPr>
          <w:rFonts w:hint="eastAsia" w:ascii="FangSong_GB2312" w:hAnsi="FangSong_GB2312" w:eastAsia="FangSong_GB2312" w:cs="FangSong_GB2312"/>
          <w:color w:val="000000"/>
          <w:kern w:val="0"/>
          <w:sz w:val="30"/>
          <w:szCs w:val="30"/>
          <w:shd w:val="clear" w:color="auto" w:fill="FFFFFF"/>
        </w:rPr>
        <w:t>政府信息公开平台建设方面。一是充分发挥门户网站重要作用，重点围绕法定主动公开内容，以文字、图表、图片、视频等方式多元化展现；在网站首页设置“聊城市主城区青年首套住房申请平台”、“公租房保障线上受理接口”、“聊城市商品房网签备案公示”等入口，方便群众足不出户查询相关信息、享受到政策带来的便利。二是推动新媒体平台建设。充分发挥政务新媒体传播快、灵活性高的特点，综合运用官方微信公众号、官方微博等多种渠道，及时公开各类信息800多篇，将住建领域大事、要事及时发布，为群众了解获得相关政策信息提供便利条件。</w:t>
      </w:r>
    </w:p>
    <w:p>
      <w:pPr>
        <w:pStyle w:val="5"/>
        <w:widowControl/>
        <w:shd w:val="clear" w:color="auto" w:fill="FFFFFF"/>
        <w:spacing w:beforeAutospacing="0" w:afterAutospacing="0" w:line="555" w:lineRule="atLeast"/>
        <w:ind w:firstLine="480"/>
        <w:jc w:val="both"/>
        <w:rPr>
          <w:rFonts w:ascii="FangSong_GB2312" w:hAnsi="FangSong_GB2312" w:eastAsia="FangSong_GB2312" w:cs="FangSong_GB2312"/>
          <w:sz w:val="30"/>
          <w:szCs w:val="30"/>
        </w:rPr>
      </w:pPr>
      <w:r>
        <w:rPr>
          <w:rFonts w:hint="eastAsia" w:ascii="FangSong_GB2312" w:hAnsi="FangSong_GB2312" w:eastAsia="FangSong_GB2312" w:cs="FangSong_GB2312"/>
          <w:color w:val="000000"/>
          <w:sz w:val="30"/>
          <w:szCs w:val="30"/>
          <w:shd w:val="clear" w:color="auto" w:fill="FFFFFF"/>
        </w:rPr>
        <w:t>（五）监督保障方面。强化组织领导，成立政府信息公开领导小组，由局主要负责同志担任组长，分管负责同志担任副组长，局机关各科室、局属各单位主要负责人担任成员，</w:t>
      </w:r>
      <w:r>
        <w:rPr>
          <w:rFonts w:hint="eastAsia" w:ascii="FangSong_GB2312" w:hAnsi="FangSong_GB2312" w:eastAsia="FangSong_GB2312" w:cs="FangSong_GB2312"/>
          <w:sz w:val="30"/>
          <w:szCs w:val="30"/>
        </w:rPr>
        <w:t>各科室明确一名政务公开工作联络员，做好政务公开工作的传达、落实</w:t>
      </w:r>
      <w:r>
        <w:rPr>
          <w:rFonts w:hint="eastAsia" w:ascii="FangSong_GB2312" w:hAnsi="FangSong_GB2312" w:eastAsia="FangSong_GB2312" w:cs="FangSong_GB2312"/>
          <w:color w:val="000000"/>
          <w:sz w:val="30"/>
          <w:szCs w:val="30"/>
          <w:shd w:val="clear" w:color="auto" w:fill="FFFFFF"/>
        </w:rPr>
        <w:t>。对照2023年全市政务公开工作要点，明确责任主体和时限要求，逐项推动落实。高度重视政务公开工作，加强交流培训，</w:t>
      </w:r>
      <w:r>
        <w:rPr>
          <w:rFonts w:hint="eastAsia" w:ascii="FangSong_GB2312" w:hAnsi="FangSong_GB2312" w:eastAsia="FangSong_GB2312" w:cs="FangSong_GB2312"/>
          <w:sz w:val="30"/>
          <w:szCs w:val="30"/>
        </w:rPr>
        <w:t>有效提升干部职工政务公开工作水平。做好</w:t>
      </w:r>
      <w:r>
        <w:rPr>
          <w:rFonts w:hint="eastAsia" w:ascii="FangSong_GB2312" w:hAnsi="FangSong_GB2312" w:eastAsia="FangSong_GB2312" w:cs="FangSong_GB2312"/>
          <w:color w:val="000000"/>
          <w:sz w:val="30"/>
          <w:szCs w:val="30"/>
          <w:shd w:val="clear" w:color="auto" w:fill="FFFFFF"/>
        </w:rPr>
        <w:t>网络舆情回应工作，</w:t>
      </w:r>
      <w:r>
        <w:rPr>
          <w:rFonts w:hint="eastAsia" w:ascii="FangSong_GB2312" w:hAnsi="FangSong_GB2312" w:eastAsia="FangSong_GB2312" w:cs="FangSong_GB2312"/>
          <w:color w:val="000000"/>
          <w:spacing w:val="15"/>
          <w:sz w:val="30"/>
          <w:szCs w:val="30"/>
          <w:shd w:val="clear" w:color="auto" w:fill="FFFFFF"/>
        </w:rPr>
        <w:t>积极做好相关舆情的应对处置和舆论引导工作。</w:t>
      </w:r>
    </w:p>
    <w:p>
      <w:pPr>
        <w:pStyle w:val="5"/>
        <w:widowControl/>
        <w:shd w:val="clear" w:color="auto" w:fill="FFFFFF"/>
        <w:spacing w:beforeAutospacing="0" w:afterAutospacing="0"/>
        <w:ind w:firstLine="640" w:firstLineChars="200"/>
        <w:jc w:val="both"/>
        <w:rPr>
          <w:rFonts w:ascii="黑体" w:hAnsi="黑体" w:eastAsia="黑体" w:cs="黑体"/>
          <w:bCs/>
          <w:color w:val="333333"/>
          <w:sz w:val="32"/>
          <w:szCs w:val="32"/>
          <w:shd w:val="clear" w:color="auto" w:fill="FFFFFF"/>
        </w:rPr>
      </w:pPr>
    </w:p>
    <w:p>
      <w:pPr>
        <w:pStyle w:val="5"/>
        <w:widowControl/>
        <w:shd w:val="clear" w:color="auto" w:fill="FFFFFF"/>
        <w:spacing w:beforeAutospacing="0" w:afterAutospacing="0"/>
        <w:ind w:firstLine="640" w:firstLineChars="200"/>
        <w:jc w:val="both"/>
        <w:rPr>
          <w:rFonts w:ascii="黑体" w:hAnsi="黑体" w:eastAsia="黑体" w:cs="黑体"/>
          <w:bCs/>
          <w:color w:val="333333"/>
          <w:sz w:val="32"/>
          <w:szCs w:val="32"/>
        </w:rPr>
      </w:pPr>
      <w:r>
        <w:rPr>
          <w:rFonts w:hint="eastAsia" w:ascii="黑体" w:hAnsi="黑体" w:eastAsia="黑体" w:cs="黑体"/>
          <w:bCs/>
          <w:color w:val="333333"/>
          <w:sz w:val="32"/>
          <w:szCs w:val="32"/>
          <w:shd w:val="clear" w:color="auto" w:fill="FFFFFF"/>
        </w:rPr>
        <w:t>二、主动公开政府信息情况</w:t>
      </w:r>
    </w:p>
    <w:tbl>
      <w:tblPr>
        <w:tblStyle w:val="6"/>
        <w:tblW w:w="8824" w:type="dxa"/>
        <w:jc w:val="center"/>
        <w:tblLayout w:type="fixed"/>
        <w:tblCellMar>
          <w:top w:w="0" w:type="dxa"/>
          <w:left w:w="108" w:type="dxa"/>
          <w:bottom w:w="0" w:type="dxa"/>
          <w:right w:w="108" w:type="dxa"/>
        </w:tblCellMar>
      </w:tblPr>
      <w:tblGrid>
        <w:gridCol w:w="2206"/>
        <w:gridCol w:w="2206"/>
        <w:gridCol w:w="2206"/>
        <w:gridCol w:w="2206"/>
      </w:tblGrid>
      <w:tr>
        <w:tblPrEx>
          <w:tblCellMar>
            <w:top w:w="0" w:type="dxa"/>
            <w:left w:w="108" w:type="dxa"/>
            <w:bottom w:w="0" w:type="dxa"/>
            <w:right w:w="108" w:type="dxa"/>
          </w:tblCellMar>
        </w:tblPrEx>
        <w:trPr>
          <w:trHeight w:val="567" w:hRule="atLeast"/>
          <w:jc w:val="center"/>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第二十条第（一）项</w:t>
            </w:r>
          </w:p>
        </w:tc>
      </w:tr>
      <w:tr>
        <w:tblPrEx>
          <w:tblCellMar>
            <w:top w:w="0" w:type="dxa"/>
            <w:left w:w="108" w:type="dxa"/>
            <w:bottom w:w="0" w:type="dxa"/>
            <w:right w:w="108" w:type="dxa"/>
          </w:tblCellMar>
        </w:tblPrEx>
        <w:trPr>
          <w:trHeight w:val="567" w:hRule="atLeast"/>
          <w:jc w:val="center"/>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FangSong_GB2312" w:hAnsi="宋体" w:eastAsia="FangSong_GB2312" w:cs="宋体"/>
                <w:color w:val="000000"/>
                <w:kern w:val="0"/>
                <w:szCs w:val="21"/>
              </w:rPr>
            </w:pPr>
            <w:r>
              <w:rPr>
                <w:rFonts w:hint="eastAsia" w:ascii="FangSong_GB2312" w:hAnsi="宋体" w:eastAsia="FangSong_GB2312" w:cs="宋体"/>
                <w:color w:val="000000"/>
                <w:kern w:val="0"/>
                <w:szCs w:val="21"/>
              </w:rPr>
              <w:t>信息内容</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ascii="FangSong_GB2312" w:hAnsi="宋体" w:eastAsia="FangSong_GB2312" w:cs="宋体"/>
                <w:color w:val="000000"/>
                <w:kern w:val="0"/>
                <w:szCs w:val="21"/>
              </w:rPr>
            </w:pPr>
            <w:r>
              <w:rPr>
                <w:rFonts w:hint="eastAsia" w:ascii="FangSong_GB2312" w:hAnsi="宋体" w:eastAsia="FangSong_GB2312" w:cs="宋体"/>
                <w:color w:val="000000"/>
                <w:kern w:val="0"/>
                <w:szCs w:val="21"/>
              </w:rPr>
              <w:t>本年制发件数</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ascii="FangSong_GB2312" w:hAnsi="宋体" w:eastAsia="FangSong_GB2312" w:cs="宋体"/>
                <w:color w:val="000000"/>
                <w:kern w:val="0"/>
                <w:szCs w:val="21"/>
              </w:rPr>
            </w:pPr>
            <w:r>
              <w:rPr>
                <w:rFonts w:hint="eastAsia" w:ascii="FangSong_GB2312" w:hAnsi="宋体" w:eastAsia="FangSong_GB2312" w:cs="宋体"/>
                <w:color w:val="000000"/>
                <w:kern w:val="0"/>
                <w:szCs w:val="21"/>
              </w:rPr>
              <w:t>本年废止件数</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ascii="FangSong_GB2312" w:hAnsi="宋体" w:eastAsia="FangSong_GB2312" w:cs="宋体"/>
                <w:color w:val="000000"/>
                <w:kern w:val="0"/>
                <w:szCs w:val="21"/>
              </w:rPr>
            </w:pPr>
            <w:r>
              <w:rPr>
                <w:rFonts w:hint="eastAsia" w:ascii="FangSong_GB2312" w:hAnsi="宋体" w:eastAsia="FangSong_GB2312" w:cs="宋体"/>
                <w:color w:val="000000"/>
                <w:kern w:val="0"/>
                <w:szCs w:val="21"/>
              </w:rPr>
              <w:t>现行有效件数</w:t>
            </w:r>
          </w:p>
        </w:tc>
      </w:tr>
      <w:tr>
        <w:tblPrEx>
          <w:tblCellMar>
            <w:top w:w="0" w:type="dxa"/>
            <w:left w:w="108" w:type="dxa"/>
            <w:bottom w:w="0" w:type="dxa"/>
            <w:right w:w="108" w:type="dxa"/>
          </w:tblCellMar>
        </w:tblPrEx>
        <w:trPr>
          <w:trHeight w:val="567" w:hRule="atLeast"/>
          <w:jc w:val="center"/>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FangSong_GB2312" w:hAnsi="宋体" w:eastAsia="FangSong_GB2312" w:cs="宋体"/>
                <w:color w:val="000000"/>
                <w:kern w:val="0"/>
                <w:szCs w:val="21"/>
              </w:rPr>
            </w:pPr>
            <w:r>
              <w:rPr>
                <w:rFonts w:hint="eastAsia" w:ascii="FangSong_GB2312" w:hAnsi="宋体" w:eastAsia="FangSong_GB2312" w:cs="宋体"/>
                <w:color w:val="000000"/>
                <w:kern w:val="0"/>
                <w:szCs w:val="21"/>
              </w:rPr>
              <w:t>规章</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ascii="FangSong_GB2312" w:hAnsi="宋体" w:eastAsia="FangSong_GB2312" w:cs="宋体"/>
                <w:kern w:val="0"/>
                <w:szCs w:val="21"/>
              </w:rPr>
            </w:pPr>
            <w:r>
              <w:rPr>
                <w:rFonts w:hint="eastAsia" w:ascii="FangSong_GB2312" w:hAnsi="宋体" w:eastAsia="FangSong_GB2312" w:cs="宋体"/>
                <w:kern w:val="0"/>
                <w:szCs w:val="21"/>
              </w:rPr>
              <w:t>0</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ascii="FangSong_GB2312" w:hAnsi="宋体" w:eastAsia="FangSong_GB2312" w:cs="宋体"/>
                <w:kern w:val="0"/>
                <w:szCs w:val="21"/>
              </w:rPr>
            </w:pPr>
            <w:r>
              <w:rPr>
                <w:rFonts w:hint="eastAsia" w:ascii="FangSong_GB2312" w:hAnsi="宋体" w:eastAsia="FangSong_GB2312" w:cs="宋体"/>
                <w:kern w:val="0"/>
                <w:szCs w:val="21"/>
              </w:rPr>
              <w:t>0</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hint="eastAsia" w:ascii="FangSong_GB2312" w:hAnsi="Calibri" w:eastAsia="FangSong_GB2312" w:cs="Calibri"/>
                <w:kern w:val="0"/>
                <w:szCs w:val="21"/>
              </w:rPr>
            </w:pPr>
            <w:r>
              <w:rPr>
                <w:rFonts w:hint="eastAsia" w:ascii="FangSong_GB2312" w:hAnsi="Calibri" w:eastAsia="FangSong_GB2312" w:cs="Calibri"/>
                <w:kern w:val="0"/>
                <w:szCs w:val="21"/>
              </w:rPr>
              <w:t>0</w:t>
            </w:r>
          </w:p>
        </w:tc>
      </w:tr>
      <w:tr>
        <w:tblPrEx>
          <w:tblCellMar>
            <w:top w:w="0" w:type="dxa"/>
            <w:left w:w="108" w:type="dxa"/>
            <w:bottom w:w="0" w:type="dxa"/>
            <w:right w:w="108" w:type="dxa"/>
          </w:tblCellMar>
        </w:tblPrEx>
        <w:trPr>
          <w:trHeight w:val="567" w:hRule="atLeast"/>
          <w:jc w:val="center"/>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FangSong_GB2312" w:hAnsi="宋体" w:eastAsia="FangSong_GB2312" w:cs="宋体"/>
                <w:color w:val="000000"/>
                <w:kern w:val="0"/>
                <w:szCs w:val="21"/>
              </w:rPr>
            </w:pPr>
            <w:r>
              <w:rPr>
                <w:rFonts w:hint="eastAsia" w:ascii="FangSong_GB2312" w:hAnsi="宋体" w:eastAsia="FangSong_GB2312" w:cs="宋体"/>
                <w:color w:val="000000"/>
                <w:kern w:val="0"/>
                <w:szCs w:val="21"/>
              </w:rPr>
              <w:t>行政规范性文件</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ascii="FangSong_GB2312" w:hAnsi="宋体" w:eastAsia="FangSong_GB2312" w:cs="宋体"/>
                <w:kern w:val="0"/>
                <w:szCs w:val="21"/>
              </w:rPr>
            </w:pPr>
            <w:r>
              <w:rPr>
                <w:rFonts w:hint="eastAsia" w:ascii="FangSong_GB2312" w:hAnsi="宋体" w:eastAsia="FangSong_GB2312" w:cs="宋体"/>
                <w:kern w:val="0"/>
                <w:szCs w:val="21"/>
              </w:rPr>
              <w:t>2</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ascii="FangSong_GB2312" w:hAnsi="宋体" w:eastAsia="FangSong_GB2312" w:cs="宋体"/>
                <w:kern w:val="0"/>
                <w:szCs w:val="21"/>
              </w:rPr>
            </w:pPr>
            <w:r>
              <w:rPr>
                <w:rFonts w:hint="eastAsia" w:ascii="FangSong_GB2312" w:hAnsi="宋体" w:eastAsia="FangSong_GB2312" w:cs="宋体"/>
                <w:kern w:val="0"/>
                <w:szCs w:val="21"/>
              </w:rPr>
              <w:t>2</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ascii="FangSong_GB2312" w:hAnsi="宋体" w:eastAsia="FangSong_GB2312" w:cs="宋体"/>
                <w:kern w:val="0"/>
                <w:szCs w:val="21"/>
              </w:rPr>
            </w:pPr>
            <w:r>
              <w:rPr>
                <w:rFonts w:hint="eastAsia" w:ascii="FangSong_GB2312" w:hAnsi="宋体" w:eastAsia="FangSong_GB2312" w:cs="宋体"/>
                <w:kern w:val="0"/>
                <w:szCs w:val="21"/>
              </w:rPr>
              <w:t>8</w:t>
            </w:r>
          </w:p>
        </w:tc>
      </w:tr>
      <w:tr>
        <w:tblPrEx>
          <w:tblCellMar>
            <w:top w:w="0" w:type="dxa"/>
            <w:left w:w="108" w:type="dxa"/>
            <w:bottom w:w="0" w:type="dxa"/>
            <w:right w:w="108" w:type="dxa"/>
          </w:tblCellMar>
        </w:tblPrEx>
        <w:trPr>
          <w:trHeight w:val="567" w:hRule="atLeast"/>
          <w:jc w:val="center"/>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第二十条第（五）项</w:t>
            </w:r>
          </w:p>
        </w:tc>
      </w:tr>
      <w:tr>
        <w:tblPrEx>
          <w:tblCellMar>
            <w:top w:w="0" w:type="dxa"/>
            <w:left w:w="108" w:type="dxa"/>
            <w:bottom w:w="0" w:type="dxa"/>
            <w:right w:w="108" w:type="dxa"/>
          </w:tblCellMar>
        </w:tblPrEx>
        <w:trPr>
          <w:trHeight w:val="567" w:hRule="atLeast"/>
          <w:jc w:val="center"/>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FangSong_GB2312" w:hAnsi="宋体" w:eastAsia="FangSong_GB2312" w:cs="宋体"/>
                <w:color w:val="000000"/>
                <w:kern w:val="0"/>
                <w:szCs w:val="21"/>
              </w:rPr>
            </w:pPr>
            <w:r>
              <w:rPr>
                <w:rFonts w:hint="eastAsia" w:ascii="FangSong_GB2312" w:hAnsi="宋体" w:eastAsia="FangSong_GB2312" w:cs="宋体"/>
                <w:color w:val="000000"/>
                <w:kern w:val="0"/>
                <w:szCs w:val="21"/>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FangSong_GB2312" w:hAnsi="宋体" w:eastAsia="FangSong_GB2312" w:cs="宋体"/>
                <w:color w:val="000000"/>
                <w:kern w:val="0"/>
                <w:szCs w:val="21"/>
              </w:rPr>
            </w:pPr>
            <w:r>
              <w:rPr>
                <w:rFonts w:hint="eastAsia" w:ascii="FangSong_GB2312" w:hAnsi="宋体" w:eastAsia="FangSong_GB2312" w:cs="宋体"/>
                <w:color w:val="000000"/>
                <w:kern w:val="0"/>
                <w:szCs w:val="21"/>
              </w:rPr>
              <w:t>本年处理决定数量</w:t>
            </w:r>
          </w:p>
        </w:tc>
      </w:tr>
      <w:tr>
        <w:tblPrEx>
          <w:tblCellMar>
            <w:top w:w="0" w:type="dxa"/>
            <w:left w:w="108" w:type="dxa"/>
            <w:bottom w:w="0" w:type="dxa"/>
            <w:right w:w="108" w:type="dxa"/>
          </w:tblCellMar>
        </w:tblPrEx>
        <w:trPr>
          <w:trHeight w:val="567" w:hRule="atLeast"/>
          <w:jc w:val="center"/>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FangSong_GB2312" w:hAnsi="宋体" w:eastAsia="FangSong_GB2312" w:cs="宋体"/>
                <w:color w:val="000000"/>
                <w:kern w:val="0"/>
                <w:szCs w:val="21"/>
              </w:rPr>
            </w:pPr>
            <w:r>
              <w:rPr>
                <w:rFonts w:hint="eastAsia" w:ascii="FangSong_GB2312" w:hAnsi="宋体" w:eastAsia="FangSong_GB2312" w:cs="宋体"/>
                <w:color w:val="000000"/>
                <w:kern w:val="0"/>
                <w:szCs w:val="21"/>
              </w:rPr>
              <w:t>行政许可</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eastAsia" w:ascii="FangSong_GB2312" w:hAnsi="Calibri" w:eastAsia="FangSong_GB2312" w:cs="Calibri"/>
                <w:color w:val="000000"/>
                <w:kern w:val="0"/>
                <w:szCs w:val="21"/>
              </w:rPr>
            </w:pPr>
            <w:r>
              <w:rPr>
                <w:rFonts w:hint="eastAsia" w:ascii="FangSong_GB2312" w:hAnsi="Calibri" w:eastAsia="FangSong_GB2312" w:cs="Calibri"/>
                <w:color w:val="000000"/>
                <w:kern w:val="0"/>
                <w:szCs w:val="21"/>
              </w:rPr>
              <w:t>23048</w:t>
            </w:r>
          </w:p>
        </w:tc>
      </w:tr>
      <w:tr>
        <w:tblPrEx>
          <w:tblCellMar>
            <w:top w:w="0" w:type="dxa"/>
            <w:left w:w="108" w:type="dxa"/>
            <w:bottom w:w="0" w:type="dxa"/>
            <w:right w:w="108" w:type="dxa"/>
          </w:tblCellMar>
        </w:tblPrEx>
        <w:trPr>
          <w:trHeight w:val="567" w:hRule="atLeast"/>
          <w:jc w:val="center"/>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第二十条第（六）项</w:t>
            </w:r>
          </w:p>
        </w:tc>
      </w:tr>
      <w:tr>
        <w:tblPrEx>
          <w:tblCellMar>
            <w:top w:w="0" w:type="dxa"/>
            <w:left w:w="108" w:type="dxa"/>
            <w:bottom w:w="0" w:type="dxa"/>
            <w:right w:w="108" w:type="dxa"/>
          </w:tblCellMar>
        </w:tblPrEx>
        <w:trPr>
          <w:trHeight w:val="567" w:hRule="atLeast"/>
          <w:jc w:val="center"/>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FangSong_GB2312" w:hAnsi="宋体" w:eastAsia="FangSong_GB2312" w:cs="宋体"/>
                <w:color w:val="000000"/>
                <w:kern w:val="0"/>
                <w:szCs w:val="21"/>
              </w:rPr>
            </w:pPr>
            <w:r>
              <w:rPr>
                <w:rFonts w:hint="eastAsia" w:ascii="FangSong_GB2312" w:hAnsi="宋体" w:eastAsia="FangSong_GB2312" w:cs="宋体"/>
                <w:color w:val="000000"/>
                <w:kern w:val="0"/>
                <w:szCs w:val="21"/>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FangSong_GB2312" w:hAnsi="宋体" w:eastAsia="FangSong_GB2312" w:cs="宋体"/>
                <w:color w:val="000000"/>
                <w:kern w:val="0"/>
                <w:szCs w:val="21"/>
              </w:rPr>
            </w:pPr>
            <w:r>
              <w:rPr>
                <w:rFonts w:hint="eastAsia" w:ascii="FangSong_GB2312" w:hAnsi="宋体" w:eastAsia="FangSong_GB2312" w:cs="宋体"/>
                <w:color w:val="000000"/>
                <w:kern w:val="0"/>
                <w:szCs w:val="21"/>
              </w:rPr>
              <w:t>本年处理决定数量</w:t>
            </w:r>
          </w:p>
        </w:tc>
      </w:tr>
      <w:tr>
        <w:tblPrEx>
          <w:tblCellMar>
            <w:top w:w="0" w:type="dxa"/>
            <w:left w:w="108" w:type="dxa"/>
            <w:bottom w:w="0" w:type="dxa"/>
            <w:right w:w="108" w:type="dxa"/>
          </w:tblCellMar>
        </w:tblPrEx>
        <w:trPr>
          <w:trHeight w:val="567" w:hRule="atLeast"/>
          <w:jc w:val="center"/>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FangSong_GB2312" w:hAnsi="宋体" w:eastAsia="FangSong_GB2312" w:cs="宋体"/>
                <w:color w:val="000000"/>
                <w:kern w:val="0"/>
                <w:szCs w:val="21"/>
              </w:rPr>
            </w:pPr>
            <w:r>
              <w:rPr>
                <w:rFonts w:hint="eastAsia" w:ascii="FangSong_GB2312" w:hAnsi="宋体" w:eastAsia="FangSong_GB2312" w:cs="宋体"/>
                <w:color w:val="000000"/>
                <w:kern w:val="0"/>
                <w:szCs w:val="21"/>
              </w:rPr>
              <w:t>行政处罚</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eastAsia" w:ascii="FangSong_GB2312" w:hAnsi="Calibri" w:eastAsia="FangSong_GB2312" w:cs="Calibri"/>
                <w:color w:val="FF0000"/>
                <w:kern w:val="0"/>
                <w:szCs w:val="21"/>
              </w:rPr>
            </w:pPr>
            <w:r>
              <w:rPr>
                <w:rFonts w:hint="eastAsia" w:ascii="FangSong_GB2312" w:hAnsi="Calibri" w:eastAsia="FangSong_GB2312" w:cs="Calibri"/>
                <w:color w:val="000000"/>
                <w:kern w:val="0"/>
                <w:szCs w:val="21"/>
              </w:rPr>
              <w:t>23</w:t>
            </w:r>
          </w:p>
        </w:tc>
      </w:tr>
      <w:tr>
        <w:tblPrEx>
          <w:tblCellMar>
            <w:top w:w="0" w:type="dxa"/>
            <w:left w:w="108" w:type="dxa"/>
            <w:bottom w:w="0" w:type="dxa"/>
            <w:right w:w="108" w:type="dxa"/>
          </w:tblCellMar>
        </w:tblPrEx>
        <w:trPr>
          <w:trHeight w:val="567" w:hRule="atLeast"/>
          <w:jc w:val="center"/>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FangSong_GB2312" w:hAnsi="宋体" w:eastAsia="FangSong_GB2312" w:cs="宋体"/>
                <w:color w:val="000000"/>
                <w:kern w:val="0"/>
                <w:szCs w:val="21"/>
              </w:rPr>
            </w:pPr>
            <w:r>
              <w:rPr>
                <w:rFonts w:hint="eastAsia" w:ascii="FangSong_GB2312" w:hAnsi="宋体" w:eastAsia="FangSong_GB2312" w:cs="宋体"/>
                <w:color w:val="000000"/>
                <w:kern w:val="0"/>
                <w:szCs w:val="21"/>
              </w:rPr>
              <w:t>行政强制</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eastAsia" w:ascii="FangSong_GB2312" w:hAnsi="Calibri" w:eastAsia="FangSong_GB2312" w:cs="Calibri"/>
                <w:color w:val="FF0000"/>
                <w:kern w:val="0"/>
                <w:szCs w:val="21"/>
              </w:rPr>
            </w:pPr>
            <w:r>
              <w:rPr>
                <w:rFonts w:hint="eastAsia" w:ascii="FangSong_GB2312" w:hAnsi="Calibri" w:eastAsia="FangSong_GB2312" w:cs="Calibri"/>
                <w:color w:val="000000"/>
                <w:kern w:val="0"/>
                <w:szCs w:val="21"/>
              </w:rPr>
              <w:t>0</w:t>
            </w:r>
          </w:p>
        </w:tc>
      </w:tr>
      <w:tr>
        <w:tblPrEx>
          <w:tblCellMar>
            <w:top w:w="0" w:type="dxa"/>
            <w:left w:w="108" w:type="dxa"/>
            <w:bottom w:w="0" w:type="dxa"/>
            <w:right w:w="108" w:type="dxa"/>
          </w:tblCellMar>
        </w:tblPrEx>
        <w:trPr>
          <w:trHeight w:val="567" w:hRule="atLeast"/>
          <w:jc w:val="center"/>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第二十条第（八）项</w:t>
            </w:r>
          </w:p>
        </w:tc>
      </w:tr>
      <w:tr>
        <w:tblPrEx>
          <w:tblCellMar>
            <w:top w:w="0" w:type="dxa"/>
            <w:left w:w="108" w:type="dxa"/>
            <w:bottom w:w="0" w:type="dxa"/>
            <w:right w:w="108" w:type="dxa"/>
          </w:tblCellMar>
        </w:tblPrEx>
        <w:trPr>
          <w:trHeight w:val="567" w:hRule="atLeast"/>
          <w:jc w:val="center"/>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FangSong_GB2312" w:hAnsi="宋体" w:eastAsia="FangSong_GB2312" w:cs="宋体"/>
                <w:color w:val="000000"/>
                <w:kern w:val="0"/>
                <w:szCs w:val="21"/>
              </w:rPr>
            </w:pPr>
            <w:r>
              <w:rPr>
                <w:rFonts w:hint="eastAsia" w:ascii="FangSong_GB2312" w:hAnsi="宋体" w:eastAsia="FangSong_GB2312" w:cs="宋体"/>
                <w:color w:val="000000"/>
                <w:kern w:val="0"/>
                <w:szCs w:val="21"/>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FangSong_GB2312" w:hAnsi="宋体" w:eastAsia="FangSong_GB2312" w:cs="宋体"/>
                <w:color w:val="000000"/>
                <w:kern w:val="0"/>
                <w:szCs w:val="21"/>
              </w:rPr>
            </w:pPr>
            <w:r>
              <w:rPr>
                <w:rFonts w:hint="eastAsia" w:ascii="FangSong_GB2312" w:hAnsi="宋体" w:eastAsia="FangSong_GB2312" w:cs="宋体"/>
                <w:color w:val="000000"/>
                <w:kern w:val="0"/>
                <w:szCs w:val="21"/>
              </w:rPr>
              <w:t>本年收费金额（单位：万元）</w:t>
            </w:r>
          </w:p>
        </w:tc>
      </w:tr>
      <w:tr>
        <w:tblPrEx>
          <w:tblCellMar>
            <w:top w:w="0" w:type="dxa"/>
            <w:left w:w="108" w:type="dxa"/>
            <w:bottom w:w="0" w:type="dxa"/>
            <w:right w:w="108" w:type="dxa"/>
          </w:tblCellMar>
        </w:tblPrEx>
        <w:trPr>
          <w:trHeight w:val="567" w:hRule="atLeast"/>
          <w:jc w:val="center"/>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FangSong_GB2312" w:hAnsi="宋体" w:eastAsia="FangSong_GB2312" w:cs="宋体"/>
                <w:color w:val="000000"/>
                <w:kern w:val="0"/>
                <w:szCs w:val="21"/>
              </w:rPr>
            </w:pPr>
            <w:r>
              <w:rPr>
                <w:rFonts w:hint="eastAsia" w:ascii="FangSong_GB2312" w:hAnsi="宋体" w:eastAsia="FangSong_GB2312" w:cs="宋体"/>
                <w:color w:val="000000"/>
                <w:kern w:val="0"/>
                <w:szCs w:val="21"/>
              </w:rPr>
              <w:t>行政事业性收费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eastAsia" w:ascii="FangSong_GB2312" w:hAnsi="Calibri" w:eastAsia="FangSong_GB2312" w:cs="Calibri"/>
                <w:color w:val="000000"/>
                <w:kern w:val="0"/>
                <w:szCs w:val="21"/>
              </w:rPr>
            </w:pPr>
            <w:r>
              <w:rPr>
                <w:rFonts w:hint="eastAsia" w:ascii="FangSong_GB2312" w:hAnsi="Calibri" w:eastAsia="FangSong_GB2312" w:cs="Calibri"/>
                <w:color w:val="000000"/>
                <w:kern w:val="0"/>
                <w:szCs w:val="21"/>
              </w:rPr>
              <w:t>1317.89</w:t>
            </w:r>
          </w:p>
        </w:tc>
      </w:tr>
    </w:tbl>
    <w:p>
      <w:pPr>
        <w:ind w:firstLine="640" w:firstLineChars="200"/>
        <w:rPr>
          <w:rFonts w:ascii="黑体" w:hAnsi="黑体" w:eastAsia="黑体" w:cs="黑体"/>
          <w:bCs/>
          <w:color w:val="333333"/>
          <w:kern w:val="0"/>
          <w:sz w:val="32"/>
          <w:szCs w:val="32"/>
          <w:shd w:val="clear" w:color="auto" w:fill="FFFFFF"/>
          <w:lang w:bidi="ar"/>
        </w:rPr>
      </w:pPr>
    </w:p>
    <w:p>
      <w:pPr>
        <w:ind w:firstLine="640" w:firstLineChars="200"/>
        <w:rPr>
          <w:rFonts w:ascii="黑体" w:hAnsi="黑体" w:eastAsia="黑体" w:cs="黑体"/>
          <w:bCs/>
          <w:color w:val="333333"/>
          <w:kern w:val="0"/>
          <w:sz w:val="32"/>
          <w:szCs w:val="32"/>
          <w:shd w:val="clear" w:color="auto" w:fill="FFFFFF"/>
          <w:lang w:bidi="ar"/>
        </w:rPr>
      </w:pPr>
      <w:r>
        <w:rPr>
          <w:rFonts w:hint="eastAsia" w:ascii="黑体" w:hAnsi="黑体" w:eastAsia="黑体" w:cs="黑体"/>
          <w:bCs/>
          <w:color w:val="333333"/>
          <w:kern w:val="0"/>
          <w:sz w:val="32"/>
          <w:szCs w:val="32"/>
          <w:shd w:val="clear" w:color="auto" w:fill="FFFFFF"/>
          <w:lang w:bidi="ar"/>
        </w:rPr>
        <w:t>三、收到和处理政府信息公开申请情况</w:t>
      </w:r>
    </w:p>
    <w:tbl>
      <w:tblPr>
        <w:tblStyle w:val="6"/>
        <w:tblW w:w="9541"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15"/>
        <w:gridCol w:w="1699"/>
        <w:gridCol w:w="2973"/>
        <w:gridCol w:w="752"/>
        <w:gridCol w:w="540"/>
        <w:gridCol w:w="540"/>
        <w:gridCol w:w="720"/>
        <w:gridCol w:w="675"/>
        <w:gridCol w:w="526"/>
        <w:gridCol w:w="70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3" w:hRule="atLeast"/>
        </w:trPr>
        <w:tc>
          <w:tcPr>
            <w:tcW w:w="5093" w:type="dxa"/>
            <w:gridSpan w:val="3"/>
            <w:vMerge w:val="restart"/>
            <w:shd w:val="clear" w:color="auto" w:fill="auto"/>
            <w:tcMar>
              <w:left w:w="108" w:type="dxa"/>
              <w:right w:w="108" w:type="dxa"/>
            </w:tcMar>
            <w:vAlign w:val="center"/>
          </w:tcPr>
          <w:p>
            <w:pPr>
              <w:widowControl/>
              <w:jc w:val="center"/>
              <w:rPr>
                <w:rFonts w:ascii="KaiTi_GB2312" w:hAnsi="黑体" w:eastAsia="KaiTi_GB2312"/>
                <w:color w:val="000000" w:themeColor="text1"/>
                <w:kern w:val="0"/>
                <w:szCs w:val="21"/>
                <w14:textFill>
                  <w14:solidFill>
                    <w14:schemeClr w14:val="tx1"/>
                  </w14:solidFill>
                </w14:textFill>
              </w:rPr>
            </w:pPr>
            <w:r>
              <w:rPr>
                <w:rFonts w:hint="eastAsia" w:ascii="KaiTi_GB2312" w:hAnsi="黑体" w:eastAsia="KaiTi_GB2312"/>
                <w:color w:val="000000" w:themeColor="text1"/>
                <w:kern w:val="0"/>
                <w:szCs w:val="21"/>
                <w14:textFill>
                  <w14:solidFill>
                    <w14:schemeClr w14:val="tx1"/>
                  </w14:solidFill>
                </w14:textFill>
              </w:rPr>
              <w:t>（本列数据的勾稽关系为：第一项加第二项之和，</w:t>
            </w:r>
          </w:p>
          <w:p>
            <w:pPr>
              <w:widowControl/>
              <w:jc w:val="center"/>
              <w:rPr>
                <w:rFonts w:ascii="FangSong_GB2312" w:hAnsi="Times New Roman" w:eastAsia="FangSong_GB2312"/>
                <w:color w:val="000000" w:themeColor="text1"/>
                <w:szCs w:val="21"/>
                <w14:textFill>
                  <w14:solidFill>
                    <w14:schemeClr w14:val="tx1"/>
                  </w14:solidFill>
                </w14:textFill>
              </w:rPr>
            </w:pPr>
            <w:r>
              <w:rPr>
                <w:rFonts w:hint="eastAsia" w:ascii="KaiTi_GB2312" w:hAnsi="黑体" w:eastAsia="KaiTi_GB2312"/>
                <w:color w:val="000000" w:themeColor="text1"/>
                <w:kern w:val="0"/>
                <w:szCs w:val="21"/>
                <w14:textFill>
                  <w14:solidFill>
                    <w14:schemeClr w14:val="tx1"/>
                  </w14:solidFill>
                </w14:textFill>
              </w:rPr>
              <w:t>等于第三项加第四项之和）</w:t>
            </w:r>
          </w:p>
        </w:tc>
        <w:tc>
          <w:tcPr>
            <w:tcW w:w="4448" w:type="dxa"/>
            <w:gridSpan w:val="7"/>
            <w:shd w:val="clear" w:color="auto" w:fill="auto"/>
            <w:tcMar>
              <w:left w:w="108" w:type="dxa"/>
              <w:right w:w="108" w:type="dxa"/>
            </w:tcMar>
            <w:vAlign w:val="center"/>
          </w:tcPr>
          <w:p>
            <w:pPr>
              <w:widowControl/>
              <w:spacing w:line="320" w:lineRule="exact"/>
              <w:jc w:val="center"/>
              <w:rPr>
                <w:rFonts w:ascii="黑体" w:hAnsi="黑体" w:eastAsia="黑体"/>
                <w:szCs w:val="21"/>
              </w:rPr>
            </w:pPr>
            <w:r>
              <w:rPr>
                <w:rFonts w:hint="eastAsia" w:ascii="黑体" w:hAnsi="黑体" w:eastAsia="黑体"/>
                <w:kern w:val="0"/>
                <w:szCs w:val="21"/>
              </w:rPr>
              <w:t>申请人情况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5093" w:type="dxa"/>
            <w:gridSpan w:val="3"/>
            <w:vMerge w:val="continue"/>
            <w:shd w:val="clear" w:color="auto" w:fill="auto"/>
            <w:tcMar>
              <w:left w:w="108" w:type="dxa"/>
              <w:right w:w="108" w:type="dxa"/>
            </w:tcMar>
            <w:vAlign w:val="center"/>
          </w:tcPr>
          <w:p>
            <w:pPr>
              <w:jc w:val="center"/>
              <w:rPr>
                <w:rFonts w:ascii="FangSong_GB2312" w:hAnsi="Times New Roman" w:eastAsia="FangSong_GB2312"/>
                <w:color w:val="000000" w:themeColor="text1"/>
                <w:szCs w:val="21"/>
                <w14:textFill>
                  <w14:solidFill>
                    <w14:schemeClr w14:val="tx1"/>
                  </w14:solidFill>
                </w14:textFill>
              </w:rPr>
            </w:pPr>
          </w:p>
        </w:tc>
        <w:tc>
          <w:tcPr>
            <w:tcW w:w="747" w:type="dxa"/>
            <w:vMerge w:val="restart"/>
            <w:shd w:val="clear" w:color="auto" w:fill="auto"/>
            <w:tcMar>
              <w:left w:w="108" w:type="dxa"/>
              <w:right w:w="108" w:type="dxa"/>
            </w:tcMar>
            <w:vAlign w:val="center"/>
          </w:tcPr>
          <w:p>
            <w:pPr>
              <w:widowControl/>
              <w:jc w:val="center"/>
              <w:rPr>
                <w:rFonts w:ascii="黑体" w:hAnsi="黑体" w:eastAsia="黑体"/>
                <w:szCs w:val="21"/>
              </w:rPr>
            </w:pPr>
            <w:r>
              <w:rPr>
                <w:rFonts w:hint="eastAsia" w:ascii="黑体" w:hAnsi="黑体" w:eastAsia="黑体"/>
                <w:kern w:val="0"/>
                <w:szCs w:val="21"/>
              </w:rPr>
              <w:t>自然人</w:t>
            </w:r>
          </w:p>
        </w:tc>
        <w:tc>
          <w:tcPr>
            <w:tcW w:w="3000" w:type="dxa"/>
            <w:gridSpan w:val="5"/>
            <w:shd w:val="clear" w:color="auto" w:fill="auto"/>
            <w:tcMar>
              <w:left w:w="108" w:type="dxa"/>
              <w:right w:w="108" w:type="dxa"/>
            </w:tcMar>
            <w:vAlign w:val="center"/>
          </w:tcPr>
          <w:p>
            <w:pPr>
              <w:widowControl/>
              <w:spacing w:line="320" w:lineRule="exact"/>
              <w:jc w:val="center"/>
              <w:rPr>
                <w:rFonts w:ascii="黑体" w:hAnsi="黑体" w:eastAsia="黑体"/>
                <w:szCs w:val="21"/>
              </w:rPr>
            </w:pPr>
            <w:r>
              <w:rPr>
                <w:rFonts w:hint="eastAsia" w:ascii="黑体" w:hAnsi="黑体" w:eastAsia="黑体"/>
                <w:kern w:val="0"/>
                <w:szCs w:val="21"/>
              </w:rPr>
              <w:t>法人或其他组织</w:t>
            </w:r>
          </w:p>
        </w:tc>
        <w:tc>
          <w:tcPr>
            <w:tcW w:w="701" w:type="dxa"/>
            <w:vMerge w:val="restart"/>
            <w:shd w:val="clear" w:color="auto" w:fill="auto"/>
            <w:tcMar>
              <w:left w:w="108" w:type="dxa"/>
              <w:right w:w="108" w:type="dxa"/>
            </w:tcMar>
            <w:vAlign w:val="center"/>
          </w:tcPr>
          <w:p>
            <w:pPr>
              <w:widowControl/>
              <w:jc w:val="center"/>
              <w:rPr>
                <w:rFonts w:ascii="黑体" w:hAnsi="黑体" w:eastAsia="黑体"/>
                <w:szCs w:val="21"/>
              </w:rPr>
            </w:pPr>
            <w:r>
              <w:rPr>
                <w:rFonts w:hint="eastAsia" w:ascii="黑体" w:hAnsi="黑体" w:eastAsia="黑体"/>
                <w:kern w:val="0"/>
                <w:szCs w:val="21"/>
              </w:rPr>
              <w:t>总计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22" w:hRule="atLeast"/>
        </w:trPr>
        <w:tc>
          <w:tcPr>
            <w:tcW w:w="5093" w:type="dxa"/>
            <w:gridSpan w:val="3"/>
            <w:vMerge w:val="continue"/>
            <w:shd w:val="clear" w:color="auto" w:fill="auto"/>
            <w:tcMar>
              <w:left w:w="108" w:type="dxa"/>
              <w:right w:w="108" w:type="dxa"/>
            </w:tcMar>
            <w:vAlign w:val="center"/>
          </w:tcPr>
          <w:p>
            <w:pPr>
              <w:jc w:val="center"/>
              <w:rPr>
                <w:rFonts w:ascii="FangSong_GB2312" w:hAnsi="Times New Roman" w:eastAsia="FangSong_GB2312"/>
                <w:color w:val="000000" w:themeColor="text1"/>
                <w:szCs w:val="21"/>
                <w14:textFill>
                  <w14:solidFill>
                    <w14:schemeClr w14:val="tx1"/>
                  </w14:solidFill>
                </w14:textFill>
              </w:rPr>
            </w:pPr>
          </w:p>
        </w:tc>
        <w:tc>
          <w:tcPr>
            <w:tcW w:w="747" w:type="dxa"/>
            <w:vMerge w:val="continue"/>
            <w:shd w:val="clear" w:color="auto" w:fill="auto"/>
            <w:tcMar>
              <w:left w:w="108" w:type="dxa"/>
              <w:right w:w="108" w:type="dxa"/>
            </w:tcMar>
            <w:vAlign w:val="center"/>
          </w:tcPr>
          <w:p>
            <w:pPr>
              <w:jc w:val="center"/>
              <w:rPr>
                <w:rFonts w:ascii="黑体" w:hAnsi="黑体" w:eastAsia="黑体"/>
                <w:szCs w:val="21"/>
              </w:rPr>
            </w:pPr>
          </w:p>
        </w:tc>
        <w:tc>
          <w:tcPr>
            <w:tcW w:w="540" w:type="dxa"/>
            <w:shd w:val="clear" w:color="auto" w:fill="auto"/>
            <w:tcMar>
              <w:left w:w="108" w:type="dxa"/>
              <w:right w:w="108" w:type="dxa"/>
            </w:tcMar>
            <w:vAlign w:val="center"/>
          </w:tcPr>
          <w:p>
            <w:pPr>
              <w:widowControl/>
              <w:spacing w:line="320" w:lineRule="exact"/>
              <w:ind w:left="-106" w:leftChars="-51" w:right="-107" w:rightChars="-51" w:hanging="1"/>
              <w:jc w:val="center"/>
              <w:rPr>
                <w:rFonts w:ascii="黑体" w:hAnsi="黑体" w:eastAsia="黑体"/>
                <w:szCs w:val="21"/>
              </w:rPr>
            </w:pPr>
            <w:r>
              <w:rPr>
                <w:rFonts w:hint="eastAsia" w:ascii="黑体" w:hAnsi="黑体" w:eastAsia="黑体"/>
                <w:kern w:val="0"/>
                <w:szCs w:val="21"/>
              </w:rPr>
              <w:t>商业企业</w:t>
            </w:r>
          </w:p>
        </w:tc>
        <w:tc>
          <w:tcPr>
            <w:tcW w:w="540" w:type="dxa"/>
            <w:shd w:val="clear" w:color="auto" w:fill="auto"/>
            <w:tcMar>
              <w:left w:w="108" w:type="dxa"/>
              <w:right w:w="108" w:type="dxa"/>
            </w:tcMar>
            <w:vAlign w:val="center"/>
          </w:tcPr>
          <w:p>
            <w:pPr>
              <w:widowControl/>
              <w:spacing w:line="320" w:lineRule="exact"/>
              <w:ind w:left="-107" w:leftChars="-51" w:right="-107" w:rightChars="-51"/>
              <w:jc w:val="center"/>
              <w:rPr>
                <w:rFonts w:ascii="黑体" w:hAnsi="黑体" w:eastAsia="黑体"/>
                <w:szCs w:val="21"/>
              </w:rPr>
            </w:pPr>
            <w:r>
              <w:rPr>
                <w:rFonts w:hint="eastAsia" w:ascii="黑体" w:hAnsi="黑体" w:eastAsia="黑体"/>
                <w:kern w:val="0"/>
                <w:szCs w:val="21"/>
              </w:rPr>
              <w:t>科研机构</w:t>
            </w:r>
          </w:p>
        </w:tc>
        <w:tc>
          <w:tcPr>
            <w:tcW w:w="720" w:type="dxa"/>
            <w:shd w:val="clear" w:color="auto" w:fill="auto"/>
            <w:tcMar>
              <w:left w:w="108" w:type="dxa"/>
              <w:right w:w="108" w:type="dxa"/>
            </w:tcMar>
            <w:vAlign w:val="center"/>
          </w:tcPr>
          <w:p>
            <w:pPr>
              <w:widowControl/>
              <w:spacing w:line="320" w:lineRule="exact"/>
              <w:ind w:left="-107" w:leftChars="-51" w:right="-107" w:rightChars="-51"/>
              <w:jc w:val="center"/>
              <w:rPr>
                <w:rFonts w:ascii="黑体" w:hAnsi="黑体" w:eastAsia="黑体"/>
                <w:szCs w:val="21"/>
              </w:rPr>
            </w:pPr>
            <w:r>
              <w:rPr>
                <w:rFonts w:hint="eastAsia" w:ascii="黑体" w:hAnsi="黑体" w:eastAsia="黑体"/>
                <w:kern w:val="0"/>
                <w:szCs w:val="21"/>
              </w:rPr>
              <w:t>社会公益组织</w:t>
            </w:r>
          </w:p>
        </w:tc>
        <w:tc>
          <w:tcPr>
            <w:tcW w:w="675" w:type="dxa"/>
            <w:shd w:val="clear" w:color="auto" w:fill="auto"/>
            <w:tcMar>
              <w:left w:w="108" w:type="dxa"/>
              <w:right w:w="108" w:type="dxa"/>
            </w:tcMar>
            <w:vAlign w:val="center"/>
          </w:tcPr>
          <w:p>
            <w:pPr>
              <w:widowControl/>
              <w:spacing w:line="320" w:lineRule="exact"/>
              <w:ind w:left="-106" w:leftChars="-51" w:right="-107" w:rightChars="-51" w:hanging="1"/>
              <w:jc w:val="center"/>
              <w:rPr>
                <w:rFonts w:ascii="黑体" w:hAnsi="黑体" w:eastAsia="黑体"/>
                <w:szCs w:val="21"/>
              </w:rPr>
            </w:pPr>
            <w:r>
              <w:rPr>
                <w:rFonts w:hint="eastAsia" w:ascii="黑体" w:hAnsi="黑体" w:eastAsia="黑体"/>
                <w:kern w:val="0"/>
                <w:szCs w:val="21"/>
              </w:rPr>
              <w:t>法律服务机构</w:t>
            </w:r>
          </w:p>
        </w:tc>
        <w:tc>
          <w:tcPr>
            <w:tcW w:w="525" w:type="dxa"/>
            <w:shd w:val="clear" w:color="auto" w:fill="auto"/>
            <w:tcMar>
              <w:left w:w="108" w:type="dxa"/>
              <w:right w:w="108" w:type="dxa"/>
            </w:tcMar>
            <w:vAlign w:val="center"/>
          </w:tcPr>
          <w:p>
            <w:pPr>
              <w:widowControl/>
              <w:spacing w:line="360" w:lineRule="exact"/>
              <w:ind w:left="-63" w:leftChars="-30" w:right="-134" w:rightChars="-64"/>
              <w:jc w:val="center"/>
              <w:rPr>
                <w:rFonts w:ascii="黑体" w:hAnsi="黑体" w:eastAsia="黑体"/>
                <w:szCs w:val="21"/>
              </w:rPr>
            </w:pPr>
            <w:r>
              <w:rPr>
                <w:rFonts w:hint="eastAsia" w:ascii="黑体" w:hAnsi="黑体" w:eastAsia="黑体"/>
                <w:kern w:val="0"/>
                <w:szCs w:val="21"/>
              </w:rPr>
              <w:t>其他</w:t>
            </w:r>
          </w:p>
        </w:tc>
        <w:tc>
          <w:tcPr>
            <w:tcW w:w="701" w:type="dxa"/>
            <w:vMerge w:val="continue"/>
            <w:shd w:val="clear" w:color="auto" w:fill="auto"/>
            <w:tcMar>
              <w:left w:w="108" w:type="dxa"/>
              <w:right w:w="108" w:type="dxa"/>
            </w:tcMar>
            <w:vAlign w:val="center"/>
          </w:tcPr>
          <w:p>
            <w:pPr>
              <w:jc w:val="center"/>
              <w:rPr>
                <w:rFonts w:ascii="FangSong_GB2312" w:hAnsi="Times New Roman" w:eastAsia="FangSong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5093" w:type="dxa"/>
            <w:gridSpan w:val="3"/>
            <w:shd w:val="clear" w:color="auto" w:fill="auto"/>
            <w:tcMar>
              <w:left w:w="108" w:type="dxa"/>
              <w:right w:w="108" w:type="dxa"/>
            </w:tcMar>
            <w:vAlign w:val="center"/>
          </w:tcPr>
          <w:p>
            <w:pPr>
              <w:widowControl/>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kern w:val="0"/>
                <w:szCs w:val="21"/>
                <w14:textFill>
                  <w14:solidFill>
                    <w14:schemeClr w14:val="tx1"/>
                  </w14:solidFill>
                </w14:textFill>
              </w:rPr>
              <w:t>一、</w:t>
            </w:r>
            <w:bookmarkStart w:id="0" w:name="_Hlk66973412"/>
            <w:r>
              <w:rPr>
                <w:rFonts w:hint="eastAsia" w:ascii="黑体" w:hAnsi="黑体" w:eastAsia="黑体"/>
                <w:color w:val="000000" w:themeColor="text1"/>
                <w:kern w:val="0"/>
                <w:szCs w:val="21"/>
                <w14:textFill>
                  <w14:solidFill>
                    <w14:schemeClr w14:val="tx1"/>
                  </w14:solidFill>
                </w14:textFill>
              </w:rPr>
              <w:t>本年新收政府信息公开申请数量</w:t>
            </w:r>
            <w:bookmarkEnd w:id="0"/>
          </w:p>
        </w:tc>
        <w:tc>
          <w:tcPr>
            <w:tcW w:w="747"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color w:val="0D0D0D" w:themeColor="text1" w:themeTint="F2"/>
                <w:szCs w:val="21"/>
                <w14:textFill>
                  <w14:solidFill>
                    <w14:schemeClr w14:val="tx1">
                      <w14:lumMod w14:val="95000"/>
                      <w14:lumOff w14:val="5000"/>
                    </w14:schemeClr>
                  </w14:solidFill>
                </w14:textFill>
              </w:rPr>
            </w:pPr>
            <w:r>
              <w:rPr>
                <w:rFonts w:hint="eastAsia" w:ascii="FangSong_GB2312" w:hAnsi="Times New Roman" w:eastAsia="FangSong_GB2312"/>
                <w:color w:val="0D0D0D" w:themeColor="text1" w:themeTint="F2"/>
                <w:szCs w:val="21"/>
                <w14:textFill>
                  <w14:solidFill>
                    <w14:schemeClr w14:val="tx1">
                      <w14:lumMod w14:val="95000"/>
                      <w14:lumOff w14:val="5000"/>
                    </w14:schemeClr>
                  </w14:solidFill>
                </w14:textFill>
              </w:rPr>
              <w:t>65</w:t>
            </w:r>
          </w:p>
        </w:tc>
        <w:tc>
          <w:tcPr>
            <w:tcW w:w="540"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color w:val="0D0D0D" w:themeColor="text1" w:themeTint="F2"/>
                <w:szCs w:val="21"/>
                <w14:textFill>
                  <w14:solidFill>
                    <w14:schemeClr w14:val="tx1">
                      <w14:lumMod w14:val="95000"/>
                      <w14:lumOff w14:val="5000"/>
                    </w14:schemeClr>
                  </w14:solidFill>
                </w14:textFill>
              </w:rPr>
            </w:pPr>
            <w:r>
              <w:rPr>
                <w:rFonts w:hint="eastAsia" w:ascii="FangSong_GB2312" w:hAnsi="Times New Roman" w:eastAsia="FangSong_GB2312"/>
                <w:color w:val="0D0D0D" w:themeColor="text1" w:themeTint="F2"/>
                <w:szCs w:val="21"/>
                <w14:textFill>
                  <w14:solidFill>
                    <w14:schemeClr w14:val="tx1">
                      <w14:lumMod w14:val="95000"/>
                      <w14:lumOff w14:val="5000"/>
                    </w14:schemeClr>
                  </w14:solidFill>
                </w14:textFill>
              </w:rPr>
              <w:t>0</w:t>
            </w:r>
          </w:p>
        </w:tc>
        <w:tc>
          <w:tcPr>
            <w:tcW w:w="540"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color w:val="0D0D0D" w:themeColor="text1" w:themeTint="F2"/>
                <w:szCs w:val="21"/>
                <w14:textFill>
                  <w14:solidFill>
                    <w14:schemeClr w14:val="tx1">
                      <w14:lumMod w14:val="95000"/>
                      <w14:lumOff w14:val="5000"/>
                    </w14:schemeClr>
                  </w14:solidFill>
                </w14:textFill>
              </w:rPr>
            </w:pPr>
            <w:r>
              <w:rPr>
                <w:rFonts w:hint="eastAsia" w:ascii="FangSong_GB2312" w:hAnsi="Times New Roman" w:eastAsia="FangSong_GB2312"/>
                <w:color w:val="0D0D0D" w:themeColor="text1" w:themeTint="F2"/>
                <w:szCs w:val="21"/>
                <w14:textFill>
                  <w14:solidFill>
                    <w14:schemeClr w14:val="tx1">
                      <w14:lumMod w14:val="95000"/>
                      <w14:lumOff w14:val="5000"/>
                    </w14:schemeClr>
                  </w14:solidFill>
                </w14:textFill>
              </w:rPr>
              <w:t>0</w:t>
            </w:r>
          </w:p>
        </w:tc>
        <w:tc>
          <w:tcPr>
            <w:tcW w:w="720"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color w:val="0D0D0D" w:themeColor="text1" w:themeTint="F2"/>
                <w:szCs w:val="21"/>
                <w14:textFill>
                  <w14:solidFill>
                    <w14:schemeClr w14:val="tx1">
                      <w14:lumMod w14:val="95000"/>
                      <w14:lumOff w14:val="5000"/>
                    </w14:schemeClr>
                  </w14:solidFill>
                </w14:textFill>
              </w:rPr>
            </w:pPr>
            <w:r>
              <w:rPr>
                <w:rFonts w:hint="eastAsia" w:ascii="FangSong_GB2312" w:hAnsi="Times New Roman" w:eastAsia="FangSong_GB2312"/>
                <w:color w:val="0D0D0D" w:themeColor="text1" w:themeTint="F2"/>
                <w:szCs w:val="21"/>
                <w14:textFill>
                  <w14:solidFill>
                    <w14:schemeClr w14:val="tx1">
                      <w14:lumMod w14:val="95000"/>
                      <w14:lumOff w14:val="5000"/>
                    </w14:schemeClr>
                  </w14:solidFill>
                </w14:textFill>
              </w:rPr>
              <w:t>0</w:t>
            </w:r>
          </w:p>
        </w:tc>
        <w:tc>
          <w:tcPr>
            <w:tcW w:w="675"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color w:val="0D0D0D" w:themeColor="text1" w:themeTint="F2"/>
                <w:szCs w:val="21"/>
                <w14:textFill>
                  <w14:solidFill>
                    <w14:schemeClr w14:val="tx1">
                      <w14:lumMod w14:val="95000"/>
                      <w14:lumOff w14:val="5000"/>
                    </w14:schemeClr>
                  </w14:solidFill>
                </w14:textFill>
              </w:rPr>
            </w:pPr>
            <w:r>
              <w:rPr>
                <w:rFonts w:hint="eastAsia" w:ascii="FangSong_GB2312" w:hAnsi="Times New Roman" w:eastAsia="FangSong_GB2312"/>
                <w:color w:val="0D0D0D" w:themeColor="text1" w:themeTint="F2"/>
                <w:szCs w:val="21"/>
                <w14:textFill>
                  <w14:solidFill>
                    <w14:schemeClr w14:val="tx1">
                      <w14:lumMod w14:val="95000"/>
                      <w14:lumOff w14:val="5000"/>
                    </w14:schemeClr>
                  </w14:solidFill>
                </w14:textFill>
              </w:rPr>
              <w:t>0</w:t>
            </w:r>
          </w:p>
        </w:tc>
        <w:tc>
          <w:tcPr>
            <w:tcW w:w="525"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color w:val="0D0D0D" w:themeColor="text1" w:themeTint="F2"/>
                <w:szCs w:val="21"/>
                <w14:textFill>
                  <w14:solidFill>
                    <w14:schemeClr w14:val="tx1">
                      <w14:lumMod w14:val="95000"/>
                      <w14:lumOff w14:val="5000"/>
                    </w14:schemeClr>
                  </w14:solidFill>
                </w14:textFill>
              </w:rPr>
            </w:pPr>
            <w:r>
              <w:rPr>
                <w:rFonts w:hint="eastAsia" w:ascii="FangSong_GB2312" w:hAnsi="Times New Roman" w:eastAsia="FangSong_GB2312"/>
                <w:color w:val="0D0D0D" w:themeColor="text1" w:themeTint="F2"/>
                <w:szCs w:val="21"/>
                <w14:textFill>
                  <w14:solidFill>
                    <w14:schemeClr w14:val="tx1">
                      <w14:lumMod w14:val="95000"/>
                      <w14:lumOff w14:val="5000"/>
                    </w14:schemeClr>
                  </w14:solidFill>
                </w14:textFill>
              </w:rPr>
              <w:t>0</w:t>
            </w:r>
          </w:p>
        </w:tc>
        <w:tc>
          <w:tcPr>
            <w:tcW w:w="701"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color w:val="0D0D0D" w:themeColor="text1" w:themeTint="F2"/>
                <w:szCs w:val="21"/>
                <w14:textFill>
                  <w14:solidFill>
                    <w14:schemeClr w14:val="tx1">
                      <w14:lumMod w14:val="95000"/>
                      <w14:lumOff w14:val="5000"/>
                    </w14:schemeClr>
                  </w14:solidFill>
                </w14:textFill>
              </w:rPr>
            </w:pPr>
            <w:r>
              <w:rPr>
                <w:rFonts w:hint="eastAsia" w:ascii="FangSong_GB2312" w:hAnsi="Times New Roman" w:eastAsia="FangSong_GB2312"/>
                <w:color w:val="0D0D0D" w:themeColor="text1" w:themeTint="F2"/>
                <w:szCs w:val="21"/>
                <w14:textFill>
                  <w14:solidFill>
                    <w14:schemeClr w14:val="tx1">
                      <w14:lumMod w14:val="95000"/>
                      <w14:lumOff w14:val="5000"/>
                    </w14:schemeClr>
                  </w14:solidFill>
                </w14:textFill>
              </w:rPr>
              <w:t>65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5093" w:type="dxa"/>
            <w:gridSpan w:val="3"/>
            <w:shd w:val="clear" w:color="auto" w:fill="auto"/>
            <w:tcMar>
              <w:left w:w="108" w:type="dxa"/>
              <w:right w:w="108" w:type="dxa"/>
            </w:tcMar>
            <w:vAlign w:val="center"/>
          </w:tcPr>
          <w:p>
            <w:pPr>
              <w:widowControl/>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kern w:val="0"/>
                <w:szCs w:val="21"/>
                <w14:textFill>
                  <w14:solidFill>
                    <w14:schemeClr w14:val="tx1"/>
                  </w14:solidFill>
                </w14:textFill>
              </w:rPr>
              <w:t>二、上年结转政府信息公开申请数量</w:t>
            </w:r>
          </w:p>
        </w:tc>
        <w:tc>
          <w:tcPr>
            <w:tcW w:w="747"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color w:val="0D0D0D" w:themeColor="text1" w:themeTint="F2"/>
                <w:szCs w:val="21"/>
                <w14:textFill>
                  <w14:solidFill>
                    <w14:schemeClr w14:val="tx1">
                      <w14:lumMod w14:val="95000"/>
                      <w14:lumOff w14:val="5000"/>
                    </w14:schemeClr>
                  </w14:solidFill>
                </w14:textFill>
              </w:rPr>
            </w:pPr>
            <w:r>
              <w:rPr>
                <w:rFonts w:hint="eastAsia" w:ascii="FangSong_GB2312" w:hAnsi="Times New Roman" w:eastAsia="FangSong_GB2312"/>
                <w:color w:val="0D0D0D" w:themeColor="text1" w:themeTint="F2"/>
                <w:szCs w:val="21"/>
                <w14:textFill>
                  <w14:solidFill>
                    <w14:schemeClr w14:val="tx1">
                      <w14:lumMod w14:val="95000"/>
                      <w14:lumOff w14:val="5000"/>
                    </w14:schemeClr>
                  </w14:solidFill>
                </w14:textFill>
              </w:rPr>
              <w:t>0</w:t>
            </w:r>
          </w:p>
        </w:tc>
        <w:tc>
          <w:tcPr>
            <w:tcW w:w="540"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color w:val="0D0D0D" w:themeColor="text1" w:themeTint="F2"/>
                <w:szCs w:val="21"/>
                <w14:textFill>
                  <w14:solidFill>
                    <w14:schemeClr w14:val="tx1">
                      <w14:lumMod w14:val="95000"/>
                      <w14:lumOff w14:val="5000"/>
                    </w14:schemeClr>
                  </w14:solidFill>
                </w14:textFill>
              </w:rPr>
            </w:pPr>
            <w:r>
              <w:rPr>
                <w:rFonts w:hint="eastAsia" w:ascii="FangSong_GB2312" w:hAnsi="Times New Roman" w:eastAsia="FangSong_GB2312"/>
                <w:color w:val="0D0D0D" w:themeColor="text1" w:themeTint="F2"/>
                <w:szCs w:val="21"/>
                <w14:textFill>
                  <w14:solidFill>
                    <w14:schemeClr w14:val="tx1">
                      <w14:lumMod w14:val="95000"/>
                      <w14:lumOff w14:val="5000"/>
                    </w14:schemeClr>
                  </w14:solidFill>
                </w14:textFill>
              </w:rPr>
              <w:t>0</w:t>
            </w:r>
          </w:p>
        </w:tc>
        <w:tc>
          <w:tcPr>
            <w:tcW w:w="540"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color w:val="0D0D0D" w:themeColor="text1" w:themeTint="F2"/>
                <w:szCs w:val="21"/>
                <w14:textFill>
                  <w14:solidFill>
                    <w14:schemeClr w14:val="tx1">
                      <w14:lumMod w14:val="95000"/>
                      <w14:lumOff w14:val="5000"/>
                    </w14:schemeClr>
                  </w14:solidFill>
                </w14:textFill>
              </w:rPr>
            </w:pPr>
            <w:r>
              <w:rPr>
                <w:rFonts w:hint="eastAsia" w:ascii="FangSong_GB2312" w:hAnsi="Times New Roman" w:eastAsia="FangSong_GB2312"/>
                <w:color w:val="0D0D0D" w:themeColor="text1" w:themeTint="F2"/>
                <w:szCs w:val="21"/>
                <w14:textFill>
                  <w14:solidFill>
                    <w14:schemeClr w14:val="tx1">
                      <w14:lumMod w14:val="95000"/>
                      <w14:lumOff w14:val="5000"/>
                    </w14:schemeClr>
                  </w14:solidFill>
                </w14:textFill>
              </w:rPr>
              <w:t>0</w:t>
            </w:r>
          </w:p>
        </w:tc>
        <w:tc>
          <w:tcPr>
            <w:tcW w:w="720"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color w:val="0D0D0D" w:themeColor="text1" w:themeTint="F2"/>
                <w:szCs w:val="21"/>
                <w14:textFill>
                  <w14:solidFill>
                    <w14:schemeClr w14:val="tx1">
                      <w14:lumMod w14:val="95000"/>
                      <w14:lumOff w14:val="5000"/>
                    </w14:schemeClr>
                  </w14:solidFill>
                </w14:textFill>
              </w:rPr>
            </w:pPr>
            <w:r>
              <w:rPr>
                <w:rFonts w:hint="eastAsia" w:ascii="FangSong_GB2312" w:hAnsi="Times New Roman" w:eastAsia="FangSong_GB2312"/>
                <w:color w:val="0D0D0D" w:themeColor="text1" w:themeTint="F2"/>
                <w:szCs w:val="21"/>
                <w14:textFill>
                  <w14:solidFill>
                    <w14:schemeClr w14:val="tx1">
                      <w14:lumMod w14:val="95000"/>
                      <w14:lumOff w14:val="5000"/>
                    </w14:schemeClr>
                  </w14:solidFill>
                </w14:textFill>
              </w:rPr>
              <w:t>0</w:t>
            </w:r>
          </w:p>
        </w:tc>
        <w:tc>
          <w:tcPr>
            <w:tcW w:w="675"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color w:val="0D0D0D" w:themeColor="text1" w:themeTint="F2"/>
                <w:szCs w:val="21"/>
                <w14:textFill>
                  <w14:solidFill>
                    <w14:schemeClr w14:val="tx1">
                      <w14:lumMod w14:val="95000"/>
                      <w14:lumOff w14:val="5000"/>
                    </w14:schemeClr>
                  </w14:solidFill>
                </w14:textFill>
              </w:rPr>
            </w:pPr>
            <w:r>
              <w:rPr>
                <w:rFonts w:hint="eastAsia" w:ascii="FangSong_GB2312" w:hAnsi="Times New Roman" w:eastAsia="FangSong_GB2312"/>
                <w:color w:val="0D0D0D" w:themeColor="text1" w:themeTint="F2"/>
                <w:szCs w:val="21"/>
                <w14:textFill>
                  <w14:solidFill>
                    <w14:schemeClr w14:val="tx1">
                      <w14:lumMod w14:val="95000"/>
                      <w14:lumOff w14:val="5000"/>
                    </w14:schemeClr>
                  </w14:solidFill>
                </w14:textFill>
              </w:rPr>
              <w:t>0</w:t>
            </w:r>
          </w:p>
        </w:tc>
        <w:tc>
          <w:tcPr>
            <w:tcW w:w="525"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color w:val="0D0D0D" w:themeColor="text1" w:themeTint="F2"/>
                <w:szCs w:val="21"/>
                <w14:textFill>
                  <w14:solidFill>
                    <w14:schemeClr w14:val="tx1">
                      <w14:lumMod w14:val="95000"/>
                      <w14:lumOff w14:val="5000"/>
                    </w14:schemeClr>
                  </w14:solidFill>
                </w14:textFill>
              </w:rPr>
            </w:pPr>
            <w:r>
              <w:rPr>
                <w:rFonts w:hint="eastAsia" w:ascii="FangSong_GB2312" w:hAnsi="Times New Roman" w:eastAsia="FangSong_GB2312"/>
                <w:color w:val="0D0D0D" w:themeColor="text1" w:themeTint="F2"/>
                <w:szCs w:val="21"/>
                <w14:textFill>
                  <w14:solidFill>
                    <w14:schemeClr w14:val="tx1">
                      <w14:lumMod w14:val="95000"/>
                      <w14:lumOff w14:val="5000"/>
                    </w14:schemeClr>
                  </w14:solidFill>
                </w14:textFill>
              </w:rPr>
              <w:t>0</w:t>
            </w:r>
          </w:p>
        </w:tc>
        <w:tc>
          <w:tcPr>
            <w:tcW w:w="701"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color w:val="0D0D0D" w:themeColor="text1" w:themeTint="F2"/>
                <w:szCs w:val="21"/>
                <w14:textFill>
                  <w14:solidFill>
                    <w14:schemeClr w14:val="tx1">
                      <w14:lumMod w14:val="95000"/>
                      <w14:lumOff w14:val="5000"/>
                    </w14:schemeClr>
                  </w14:solidFill>
                </w14:textFill>
              </w:rPr>
            </w:pPr>
            <w:r>
              <w:rPr>
                <w:rFonts w:hint="eastAsia" w:ascii="FangSong_GB2312" w:hAnsi="Times New Roman" w:eastAsia="FangSong_GB2312"/>
                <w:color w:val="0D0D0D" w:themeColor="text1" w:themeTint="F2"/>
                <w:szCs w:val="21"/>
                <w14:textFill>
                  <w14:solidFill>
                    <w14:schemeClr w14:val="tx1">
                      <w14:lumMod w14:val="95000"/>
                      <w14:lumOff w14:val="5000"/>
                    </w14:schemeClr>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16" w:type="dxa"/>
            <w:vMerge w:val="restart"/>
            <w:shd w:val="clear" w:color="auto" w:fill="auto"/>
            <w:tcMar>
              <w:left w:w="108" w:type="dxa"/>
              <w:right w:w="108" w:type="dxa"/>
            </w:tcMar>
            <w:vAlign w:val="center"/>
          </w:tcPr>
          <w:p>
            <w:pPr>
              <w:widowControl/>
              <w:spacing w:after="18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kern w:val="0"/>
                <w:szCs w:val="21"/>
                <w14:textFill>
                  <w14:solidFill>
                    <w14:schemeClr w14:val="tx1"/>
                  </w14:solidFill>
                </w14:textFill>
              </w:rPr>
              <w:t>三、本年度办理结果</w:t>
            </w:r>
          </w:p>
        </w:tc>
        <w:tc>
          <w:tcPr>
            <w:tcW w:w="4677" w:type="dxa"/>
            <w:gridSpan w:val="2"/>
            <w:shd w:val="clear" w:color="auto" w:fill="auto"/>
            <w:tcMar>
              <w:left w:w="108" w:type="dxa"/>
              <w:right w:w="108" w:type="dxa"/>
            </w:tcMar>
            <w:vAlign w:val="center"/>
          </w:tcPr>
          <w:p>
            <w:pPr>
              <w:widowControl/>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kern w:val="0"/>
                <w:szCs w:val="21"/>
                <w14:textFill>
                  <w14:solidFill>
                    <w14:schemeClr w14:val="tx1"/>
                  </w14:solidFill>
                </w14:textFill>
              </w:rPr>
              <w:t>（一）予以公开</w:t>
            </w:r>
          </w:p>
        </w:tc>
        <w:tc>
          <w:tcPr>
            <w:tcW w:w="752"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color w:val="0D0D0D" w:themeColor="text1" w:themeTint="F2"/>
                <w:szCs w:val="21"/>
                <w14:textFill>
                  <w14:solidFill>
                    <w14:schemeClr w14:val="tx1">
                      <w14:lumMod w14:val="95000"/>
                      <w14:lumOff w14:val="5000"/>
                    </w14:schemeClr>
                  </w14:solidFill>
                </w14:textFill>
              </w:rPr>
            </w:pPr>
            <w:r>
              <w:rPr>
                <w:rFonts w:hint="eastAsia" w:ascii="FangSong_GB2312" w:hAnsi="Times New Roman" w:eastAsia="FangSong_GB2312"/>
                <w:color w:val="0D0D0D" w:themeColor="text1" w:themeTint="F2"/>
                <w:szCs w:val="21"/>
                <w14:textFill>
                  <w14:solidFill>
                    <w14:schemeClr w14:val="tx1">
                      <w14:lumMod w14:val="95000"/>
                      <w14:lumOff w14:val="5000"/>
                    </w14:schemeClr>
                  </w14:solidFill>
                </w14:textFill>
              </w:rPr>
              <w:t>8</w:t>
            </w:r>
          </w:p>
        </w:tc>
        <w:tc>
          <w:tcPr>
            <w:tcW w:w="540"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color w:val="0D0D0D" w:themeColor="text1" w:themeTint="F2"/>
                <w:szCs w:val="21"/>
                <w14:textFill>
                  <w14:solidFill>
                    <w14:schemeClr w14:val="tx1">
                      <w14:lumMod w14:val="95000"/>
                      <w14:lumOff w14:val="5000"/>
                    </w14:schemeClr>
                  </w14:solidFill>
                </w14:textFill>
              </w:rPr>
            </w:pPr>
            <w:r>
              <w:rPr>
                <w:rFonts w:hint="eastAsia" w:ascii="FangSong_GB2312" w:hAnsi="Times New Roman" w:eastAsia="FangSong_GB2312"/>
                <w:color w:val="0D0D0D" w:themeColor="text1" w:themeTint="F2"/>
                <w:szCs w:val="21"/>
                <w14:textFill>
                  <w14:solidFill>
                    <w14:schemeClr w14:val="tx1">
                      <w14:lumMod w14:val="95000"/>
                      <w14:lumOff w14:val="5000"/>
                    </w14:schemeClr>
                  </w14:solidFill>
                </w14:textFill>
              </w:rPr>
              <w:t>0</w:t>
            </w:r>
          </w:p>
        </w:tc>
        <w:tc>
          <w:tcPr>
            <w:tcW w:w="535"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color w:val="0D0D0D" w:themeColor="text1" w:themeTint="F2"/>
                <w:szCs w:val="21"/>
                <w14:textFill>
                  <w14:solidFill>
                    <w14:schemeClr w14:val="tx1">
                      <w14:lumMod w14:val="95000"/>
                      <w14:lumOff w14:val="5000"/>
                    </w14:schemeClr>
                  </w14:solidFill>
                </w14:textFill>
              </w:rPr>
            </w:pPr>
            <w:r>
              <w:rPr>
                <w:rFonts w:hint="eastAsia" w:ascii="FangSong_GB2312" w:hAnsi="Times New Roman" w:eastAsia="FangSong_GB2312"/>
                <w:color w:val="0D0D0D" w:themeColor="text1" w:themeTint="F2"/>
                <w:szCs w:val="21"/>
                <w14:textFill>
                  <w14:solidFill>
                    <w14:schemeClr w14:val="tx1">
                      <w14:lumMod w14:val="95000"/>
                      <w14:lumOff w14:val="5000"/>
                    </w14:schemeClr>
                  </w14:solidFill>
                </w14:textFill>
              </w:rPr>
              <w:t>0</w:t>
            </w:r>
          </w:p>
        </w:tc>
        <w:tc>
          <w:tcPr>
            <w:tcW w:w="720"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color w:val="0D0D0D" w:themeColor="text1" w:themeTint="F2"/>
                <w:szCs w:val="21"/>
                <w14:textFill>
                  <w14:solidFill>
                    <w14:schemeClr w14:val="tx1">
                      <w14:lumMod w14:val="95000"/>
                      <w14:lumOff w14:val="5000"/>
                    </w14:schemeClr>
                  </w14:solidFill>
                </w14:textFill>
              </w:rPr>
            </w:pPr>
            <w:r>
              <w:rPr>
                <w:rFonts w:hint="eastAsia" w:ascii="FangSong_GB2312" w:hAnsi="Times New Roman" w:eastAsia="FangSong_GB2312"/>
                <w:color w:val="0D0D0D" w:themeColor="text1" w:themeTint="F2"/>
                <w:szCs w:val="21"/>
                <w14:textFill>
                  <w14:solidFill>
                    <w14:schemeClr w14:val="tx1">
                      <w14:lumMod w14:val="95000"/>
                      <w14:lumOff w14:val="5000"/>
                    </w14:schemeClr>
                  </w14:solidFill>
                </w14:textFill>
              </w:rPr>
              <w:t>0</w:t>
            </w:r>
          </w:p>
        </w:tc>
        <w:tc>
          <w:tcPr>
            <w:tcW w:w="675"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color w:val="0D0D0D" w:themeColor="text1" w:themeTint="F2"/>
                <w:szCs w:val="21"/>
                <w14:textFill>
                  <w14:solidFill>
                    <w14:schemeClr w14:val="tx1">
                      <w14:lumMod w14:val="95000"/>
                      <w14:lumOff w14:val="5000"/>
                    </w14:schemeClr>
                  </w14:solidFill>
                </w14:textFill>
              </w:rPr>
            </w:pPr>
            <w:r>
              <w:rPr>
                <w:rFonts w:hint="eastAsia" w:ascii="FangSong_GB2312" w:hAnsi="Times New Roman" w:eastAsia="FangSong_GB2312"/>
                <w:color w:val="0D0D0D" w:themeColor="text1" w:themeTint="F2"/>
                <w:szCs w:val="21"/>
                <w14:textFill>
                  <w14:solidFill>
                    <w14:schemeClr w14:val="tx1">
                      <w14:lumMod w14:val="95000"/>
                      <w14:lumOff w14:val="5000"/>
                    </w14:schemeClr>
                  </w14:solidFill>
                </w14:textFill>
              </w:rPr>
              <w:t>0</w:t>
            </w:r>
          </w:p>
        </w:tc>
        <w:tc>
          <w:tcPr>
            <w:tcW w:w="526"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color w:val="0D0D0D" w:themeColor="text1" w:themeTint="F2"/>
                <w:szCs w:val="21"/>
                <w14:textFill>
                  <w14:solidFill>
                    <w14:schemeClr w14:val="tx1">
                      <w14:lumMod w14:val="95000"/>
                      <w14:lumOff w14:val="5000"/>
                    </w14:schemeClr>
                  </w14:solidFill>
                </w14:textFill>
              </w:rPr>
            </w:pPr>
            <w:r>
              <w:rPr>
                <w:rFonts w:hint="eastAsia" w:ascii="FangSong_GB2312" w:hAnsi="Times New Roman" w:eastAsia="FangSong_GB2312"/>
                <w:color w:val="0D0D0D" w:themeColor="text1" w:themeTint="F2"/>
                <w:szCs w:val="21"/>
                <w14:textFill>
                  <w14:solidFill>
                    <w14:schemeClr w14:val="tx1">
                      <w14:lumMod w14:val="95000"/>
                      <w14:lumOff w14:val="5000"/>
                    </w14:schemeClr>
                  </w14:solidFill>
                </w14:textFill>
              </w:rPr>
              <w:t>0</w:t>
            </w:r>
          </w:p>
        </w:tc>
        <w:tc>
          <w:tcPr>
            <w:tcW w:w="700" w:type="dxa"/>
            <w:shd w:val="clear" w:color="auto" w:fill="auto"/>
            <w:tcMar>
              <w:left w:w="108" w:type="dxa"/>
              <w:right w:w="108" w:type="dxa"/>
            </w:tcMar>
            <w:vAlign w:val="center"/>
          </w:tcPr>
          <w:p>
            <w:pPr>
              <w:widowControl/>
              <w:spacing w:line="240" w:lineRule="exact"/>
              <w:jc w:val="center"/>
              <w:rPr>
                <w:rFonts w:hint="eastAsia" w:ascii="FangSong_GB2312" w:hAnsi="Times New Roman" w:eastAsia="FangSong_GB2312"/>
                <w:color w:val="0D0D0D" w:themeColor="text1" w:themeTint="F2"/>
                <w:szCs w:val="21"/>
                <w:lang w:eastAsia="zh-CN"/>
                <w14:textFill>
                  <w14:solidFill>
                    <w14:schemeClr w14:val="tx1">
                      <w14:lumMod w14:val="95000"/>
                      <w14:lumOff w14:val="5000"/>
                    </w14:schemeClr>
                  </w14:solidFill>
                </w14:textFill>
              </w:rPr>
            </w:pPr>
            <w:r>
              <w:rPr>
                <w:rFonts w:hint="eastAsia" w:ascii="FangSong_GB2312" w:hAnsi="Times New Roman" w:eastAsia="FangSong_GB2312"/>
                <w:color w:val="0D0D0D" w:themeColor="text1" w:themeTint="F2"/>
                <w:szCs w:val="21"/>
                <w:lang w:val="en-US" w:eastAsia="zh-CN"/>
                <w14:textFill>
                  <w14:solidFill>
                    <w14:schemeClr w14:val="tx1">
                      <w14:lumMod w14:val="95000"/>
                      <w14:lumOff w14:val="5000"/>
                    </w14:schemeClr>
                  </w14:solidFill>
                </w14:textFill>
              </w:rPr>
              <w:t>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16" w:type="dxa"/>
            <w:vMerge w:val="continue"/>
            <w:shd w:val="clear" w:color="auto" w:fill="auto"/>
            <w:tcMar>
              <w:left w:w="108" w:type="dxa"/>
              <w:right w:w="108" w:type="dxa"/>
            </w:tcMar>
            <w:vAlign w:val="center"/>
          </w:tcPr>
          <w:p>
            <w:pPr>
              <w:rPr>
                <w:rFonts w:ascii="黑体" w:hAnsi="黑体" w:eastAsia="黑体"/>
                <w:color w:val="000000" w:themeColor="text1"/>
                <w:szCs w:val="21"/>
                <w14:textFill>
                  <w14:solidFill>
                    <w14:schemeClr w14:val="tx1"/>
                  </w14:solidFill>
                </w14:textFill>
              </w:rPr>
            </w:pPr>
          </w:p>
        </w:tc>
        <w:tc>
          <w:tcPr>
            <w:tcW w:w="4677" w:type="dxa"/>
            <w:gridSpan w:val="2"/>
            <w:shd w:val="clear" w:color="auto" w:fill="auto"/>
            <w:tcMar>
              <w:left w:w="108" w:type="dxa"/>
              <w:right w:w="108" w:type="dxa"/>
            </w:tcMar>
            <w:vAlign w:val="center"/>
          </w:tcPr>
          <w:p>
            <w:pPr>
              <w:widowControl/>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kern w:val="0"/>
                <w:szCs w:val="21"/>
                <w14:textFill>
                  <w14:solidFill>
                    <w14:schemeClr w14:val="tx1"/>
                  </w14:solidFill>
                </w14:textFill>
              </w:rPr>
              <w:t>（二）部分公开（</w:t>
            </w:r>
            <w:bookmarkStart w:id="1" w:name="_Hlk66973981"/>
            <w:r>
              <w:rPr>
                <w:rFonts w:hint="eastAsia" w:ascii="黑体" w:hAnsi="黑体" w:eastAsia="黑体"/>
                <w:color w:val="000000" w:themeColor="text1"/>
                <w:kern w:val="0"/>
                <w:szCs w:val="21"/>
                <w14:textFill>
                  <w14:solidFill>
                    <w14:schemeClr w14:val="tx1"/>
                  </w14:solidFill>
                </w14:textFill>
              </w:rPr>
              <w:t>区分处理的，只计这一情形，不计其他情形</w:t>
            </w:r>
            <w:bookmarkEnd w:id="1"/>
            <w:r>
              <w:rPr>
                <w:rFonts w:hint="eastAsia" w:ascii="黑体" w:hAnsi="黑体" w:eastAsia="黑体"/>
                <w:color w:val="000000" w:themeColor="text1"/>
                <w:kern w:val="0"/>
                <w:szCs w:val="21"/>
                <w14:textFill>
                  <w14:solidFill>
                    <w14:schemeClr w14:val="tx1"/>
                  </w14:solidFill>
                </w14:textFill>
              </w:rPr>
              <w:t>）</w:t>
            </w:r>
          </w:p>
        </w:tc>
        <w:tc>
          <w:tcPr>
            <w:tcW w:w="752"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color w:val="0D0D0D" w:themeColor="text1" w:themeTint="F2"/>
                <w:szCs w:val="21"/>
                <w14:textFill>
                  <w14:solidFill>
                    <w14:schemeClr w14:val="tx1">
                      <w14:lumMod w14:val="95000"/>
                      <w14:lumOff w14:val="5000"/>
                    </w14:schemeClr>
                  </w14:solidFill>
                </w14:textFill>
              </w:rPr>
            </w:pPr>
            <w:r>
              <w:rPr>
                <w:rFonts w:hint="eastAsia" w:ascii="FangSong_GB2312" w:hAnsi="Times New Roman" w:eastAsia="FangSong_GB2312"/>
                <w:color w:val="0D0D0D" w:themeColor="text1" w:themeTint="F2"/>
                <w:szCs w:val="21"/>
                <w14:textFill>
                  <w14:solidFill>
                    <w14:schemeClr w14:val="tx1">
                      <w14:lumMod w14:val="95000"/>
                      <w14:lumOff w14:val="5000"/>
                    </w14:schemeClr>
                  </w14:solidFill>
                </w14:textFill>
              </w:rPr>
              <w:t>5</w:t>
            </w:r>
          </w:p>
        </w:tc>
        <w:tc>
          <w:tcPr>
            <w:tcW w:w="540"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color w:val="0D0D0D" w:themeColor="text1" w:themeTint="F2"/>
                <w:szCs w:val="21"/>
                <w14:textFill>
                  <w14:solidFill>
                    <w14:schemeClr w14:val="tx1">
                      <w14:lumMod w14:val="95000"/>
                      <w14:lumOff w14:val="5000"/>
                    </w14:schemeClr>
                  </w14:solidFill>
                </w14:textFill>
              </w:rPr>
            </w:pPr>
            <w:r>
              <w:rPr>
                <w:rFonts w:hint="eastAsia" w:ascii="FangSong_GB2312" w:hAnsi="Times New Roman" w:eastAsia="FangSong_GB2312"/>
                <w:color w:val="0D0D0D" w:themeColor="text1" w:themeTint="F2"/>
                <w:szCs w:val="21"/>
                <w14:textFill>
                  <w14:solidFill>
                    <w14:schemeClr w14:val="tx1">
                      <w14:lumMod w14:val="95000"/>
                      <w14:lumOff w14:val="5000"/>
                    </w14:schemeClr>
                  </w14:solidFill>
                </w14:textFill>
              </w:rPr>
              <w:t>0</w:t>
            </w:r>
          </w:p>
        </w:tc>
        <w:tc>
          <w:tcPr>
            <w:tcW w:w="535"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color w:val="0D0D0D" w:themeColor="text1" w:themeTint="F2"/>
                <w:szCs w:val="21"/>
                <w14:textFill>
                  <w14:solidFill>
                    <w14:schemeClr w14:val="tx1">
                      <w14:lumMod w14:val="95000"/>
                      <w14:lumOff w14:val="5000"/>
                    </w14:schemeClr>
                  </w14:solidFill>
                </w14:textFill>
              </w:rPr>
            </w:pPr>
            <w:r>
              <w:rPr>
                <w:rFonts w:hint="eastAsia" w:ascii="FangSong_GB2312" w:hAnsi="Times New Roman" w:eastAsia="FangSong_GB2312"/>
                <w:color w:val="0D0D0D" w:themeColor="text1" w:themeTint="F2"/>
                <w:szCs w:val="21"/>
                <w14:textFill>
                  <w14:solidFill>
                    <w14:schemeClr w14:val="tx1">
                      <w14:lumMod w14:val="95000"/>
                      <w14:lumOff w14:val="5000"/>
                    </w14:schemeClr>
                  </w14:solidFill>
                </w14:textFill>
              </w:rPr>
              <w:t>0</w:t>
            </w:r>
          </w:p>
        </w:tc>
        <w:tc>
          <w:tcPr>
            <w:tcW w:w="720"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color w:val="0D0D0D" w:themeColor="text1" w:themeTint="F2"/>
                <w:szCs w:val="21"/>
                <w14:textFill>
                  <w14:solidFill>
                    <w14:schemeClr w14:val="tx1">
                      <w14:lumMod w14:val="95000"/>
                      <w14:lumOff w14:val="5000"/>
                    </w14:schemeClr>
                  </w14:solidFill>
                </w14:textFill>
              </w:rPr>
            </w:pPr>
            <w:r>
              <w:rPr>
                <w:rFonts w:hint="eastAsia" w:ascii="FangSong_GB2312" w:hAnsi="Times New Roman" w:eastAsia="FangSong_GB2312"/>
                <w:color w:val="0D0D0D" w:themeColor="text1" w:themeTint="F2"/>
                <w:szCs w:val="21"/>
                <w14:textFill>
                  <w14:solidFill>
                    <w14:schemeClr w14:val="tx1">
                      <w14:lumMod w14:val="95000"/>
                      <w14:lumOff w14:val="5000"/>
                    </w14:schemeClr>
                  </w14:solidFill>
                </w14:textFill>
              </w:rPr>
              <w:t>0</w:t>
            </w:r>
          </w:p>
        </w:tc>
        <w:tc>
          <w:tcPr>
            <w:tcW w:w="675"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color w:val="0D0D0D" w:themeColor="text1" w:themeTint="F2"/>
                <w:szCs w:val="21"/>
                <w14:textFill>
                  <w14:solidFill>
                    <w14:schemeClr w14:val="tx1">
                      <w14:lumMod w14:val="95000"/>
                      <w14:lumOff w14:val="5000"/>
                    </w14:schemeClr>
                  </w14:solidFill>
                </w14:textFill>
              </w:rPr>
            </w:pPr>
            <w:r>
              <w:rPr>
                <w:rFonts w:hint="eastAsia" w:ascii="FangSong_GB2312" w:hAnsi="Times New Roman" w:eastAsia="FangSong_GB2312"/>
                <w:color w:val="0D0D0D" w:themeColor="text1" w:themeTint="F2"/>
                <w:szCs w:val="21"/>
                <w14:textFill>
                  <w14:solidFill>
                    <w14:schemeClr w14:val="tx1">
                      <w14:lumMod w14:val="95000"/>
                      <w14:lumOff w14:val="5000"/>
                    </w14:schemeClr>
                  </w14:solidFill>
                </w14:textFill>
              </w:rPr>
              <w:t>0</w:t>
            </w:r>
          </w:p>
        </w:tc>
        <w:tc>
          <w:tcPr>
            <w:tcW w:w="526"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color w:val="0D0D0D" w:themeColor="text1" w:themeTint="F2"/>
                <w:szCs w:val="21"/>
                <w14:textFill>
                  <w14:solidFill>
                    <w14:schemeClr w14:val="tx1">
                      <w14:lumMod w14:val="95000"/>
                      <w14:lumOff w14:val="5000"/>
                    </w14:schemeClr>
                  </w14:solidFill>
                </w14:textFill>
              </w:rPr>
            </w:pPr>
            <w:r>
              <w:rPr>
                <w:rFonts w:hint="eastAsia" w:ascii="FangSong_GB2312" w:hAnsi="Times New Roman" w:eastAsia="FangSong_GB2312"/>
                <w:color w:val="0D0D0D" w:themeColor="text1" w:themeTint="F2"/>
                <w:szCs w:val="21"/>
                <w14:textFill>
                  <w14:solidFill>
                    <w14:schemeClr w14:val="tx1">
                      <w14:lumMod w14:val="95000"/>
                      <w14:lumOff w14:val="5000"/>
                    </w14:schemeClr>
                  </w14:solidFill>
                </w14:textFill>
              </w:rPr>
              <w:t>0</w:t>
            </w:r>
          </w:p>
        </w:tc>
        <w:tc>
          <w:tcPr>
            <w:tcW w:w="700"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color w:val="0D0D0D" w:themeColor="text1" w:themeTint="F2"/>
                <w:szCs w:val="21"/>
                <w14:textFill>
                  <w14:solidFill>
                    <w14:schemeClr w14:val="tx1">
                      <w14:lumMod w14:val="95000"/>
                      <w14:lumOff w14:val="5000"/>
                    </w14:schemeClr>
                  </w14:solidFill>
                </w14:textFill>
              </w:rPr>
            </w:pPr>
            <w:r>
              <w:rPr>
                <w:rFonts w:hint="eastAsia" w:ascii="FangSong_GB2312" w:hAnsi="Times New Roman" w:eastAsia="FangSong_GB2312"/>
                <w:color w:val="0D0D0D" w:themeColor="text1" w:themeTint="F2"/>
                <w:szCs w:val="21"/>
                <w14:textFill>
                  <w14:solidFill>
                    <w14:schemeClr w14:val="tx1">
                      <w14:lumMod w14:val="95000"/>
                      <w14:lumOff w14:val="5000"/>
                    </w14:schemeClr>
                  </w14:solidFill>
                </w14:textFill>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trPr>
        <w:tc>
          <w:tcPr>
            <w:tcW w:w="416" w:type="dxa"/>
            <w:vMerge w:val="continue"/>
            <w:shd w:val="clear" w:color="auto" w:fill="auto"/>
            <w:tcMar>
              <w:left w:w="108" w:type="dxa"/>
              <w:right w:w="108" w:type="dxa"/>
            </w:tcMar>
            <w:vAlign w:val="center"/>
          </w:tcPr>
          <w:p>
            <w:pPr>
              <w:rPr>
                <w:rFonts w:ascii="黑体" w:hAnsi="黑体" w:eastAsia="黑体"/>
                <w:color w:val="000000" w:themeColor="text1"/>
                <w:szCs w:val="21"/>
                <w14:textFill>
                  <w14:solidFill>
                    <w14:schemeClr w14:val="tx1"/>
                  </w14:solidFill>
                </w14:textFill>
              </w:rPr>
            </w:pPr>
          </w:p>
        </w:tc>
        <w:tc>
          <w:tcPr>
            <w:tcW w:w="1701" w:type="dxa"/>
            <w:vMerge w:val="restart"/>
            <w:shd w:val="clear" w:color="auto" w:fill="auto"/>
            <w:tcMar>
              <w:left w:w="108" w:type="dxa"/>
              <w:right w:w="108" w:type="dxa"/>
            </w:tcMar>
            <w:vAlign w:val="center"/>
          </w:tcPr>
          <w:p>
            <w:pPr>
              <w:widowControl/>
              <w:spacing w:line="200" w:lineRule="exact"/>
              <w:ind w:left="-107" w:leftChars="-51"/>
              <w:rPr>
                <w:rFonts w:ascii="黑体" w:hAnsi="黑体" w:eastAsia="黑体"/>
                <w:szCs w:val="21"/>
              </w:rPr>
            </w:pPr>
            <w:r>
              <w:rPr>
                <w:rFonts w:hint="eastAsia" w:ascii="黑体" w:hAnsi="黑体" w:eastAsia="黑体"/>
                <w:kern w:val="0"/>
                <w:szCs w:val="21"/>
              </w:rPr>
              <w:t>（三）不予公开</w:t>
            </w:r>
          </w:p>
        </w:tc>
        <w:tc>
          <w:tcPr>
            <w:tcW w:w="2976" w:type="dxa"/>
            <w:shd w:val="clear" w:color="auto" w:fill="auto"/>
            <w:tcMar>
              <w:left w:w="108" w:type="dxa"/>
              <w:right w:w="108" w:type="dxa"/>
            </w:tcMar>
            <w:vAlign w:val="center"/>
          </w:tcPr>
          <w:p>
            <w:pPr>
              <w:widowControl/>
              <w:spacing w:line="200" w:lineRule="exact"/>
              <w:rPr>
                <w:rFonts w:ascii="FangSong_GB2312" w:hAnsi="黑体" w:eastAsia="FangSong_GB2312"/>
                <w:kern w:val="0"/>
                <w:szCs w:val="21"/>
              </w:rPr>
            </w:pPr>
            <w:r>
              <w:rPr>
                <w:rFonts w:hint="eastAsia" w:ascii="FangSong_GB2312" w:hAnsi="黑体" w:eastAsia="FangSong_GB2312"/>
                <w:kern w:val="0"/>
                <w:szCs w:val="21"/>
              </w:rPr>
              <w:t>1.属于国家秘密</w:t>
            </w:r>
          </w:p>
        </w:tc>
        <w:tc>
          <w:tcPr>
            <w:tcW w:w="747"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540"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540"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720"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675"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525"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701"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trPr>
        <w:tc>
          <w:tcPr>
            <w:tcW w:w="416" w:type="dxa"/>
            <w:vMerge w:val="continue"/>
            <w:shd w:val="clear" w:color="auto" w:fill="auto"/>
            <w:tcMar>
              <w:left w:w="108" w:type="dxa"/>
              <w:right w:w="108" w:type="dxa"/>
            </w:tcMar>
            <w:vAlign w:val="center"/>
          </w:tcPr>
          <w:p>
            <w:pPr>
              <w:rPr>
                <w:rFonts w:ascii="黑体" w:hAnsi="黑体" w:eastAsia="黑体"/>
                <w:color w:val="000000" w:themeColor="text1"/>
                <w:szCs w:val="21"/>
                <w14:textFill>
                  <w14:solidFill>
                    <w14:schemeClr w14:val="tx1"/>
                  </w14:solidFill>
                </w14:textFill>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FangSong_GB2312" w:hAnsi="黑体" w:eastAsia="FangSong_GB2312"/>
                <w:kern w:val="0"/>
                <w:szCs w:val="21"/>
              </w:rPr>
            </w:pPr>
            <w:r>
              <w:rPr>
                <w:rFonts w:hint="eastAsia" w:ascii="FangSong_GB2312" w:hAnsi="黑体" w:eastAsia="FangSong_GB2312"/>
                <w:kern w:val="0"/>
                <w:szCs w:val="21"/>
              </w:rPr>
              <w:t>2.</w:t>
            </w:r>
            <w:bookmarkStart w:id="2" w:name="_Hlk66974104"/>
            <w:r>
              <w:rPr>
                <w:rFonts w:hint="eastAsia" w:ascii="FangSong_GB2312" w:hAnsi="黑体" w:eastAsia="FangSong_GB2312"/>
                <w:kern w:val="0"/>
                <w:szCs w:val="21"/>
              </w:rPr>
              <w:t>其他法律行政法规禁止公开</w:t>
            </w:r>
            <w:bookmarkEnd w:id="2"/>
          </w:p>
        </w:tc>
        <w:tc>
          <w:tcPr>
            <w:tcW w:w="747"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540"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540"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720"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675"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525"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701"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trPr>
        <w:tc>
          <w:tcPr>
            <w:tcW w:w="416" w:type="dxa"/>
            <w:vMerge w:val="continue"/>
            <w:shd w:val="clear" w:color="auto" w:fill="auto"/>
            <w:tcMar>
              <w:left w:w="108" w:type="dxa"/>
              <w:right w:w="108" w:type="dxa"/>
            </w:tcMar>
            <w:vAlign w:val="center"/>
          </w:tcPr>
          <w:p>
            <w:pPr>
              <w:rPr>
                <w:rFonts w:ascii="黑体" w:hAnsi="黑体" w:eastAsia="黑体"/>
                <w:color w:val="000000" w:themeColor="text1"/>
                <w:szCs w:val="21"/>
                <w14:textFill>
                  <w14:solidFill>
                    <w14:schemeClr w14:val="tx1"/>
                  </w14:solidFill>
                </w14:textFill>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FangSong_GB2312" w:hAnsi="黑体" w:eastAsia="FangSong_GB2312"/>
                <w:kern w:val="0"/>
                <w:szCs w:val="21"/>
              </w:rPr>
            </w:pPr>
            <w:r>
              <w:rPr>
                <w:rFonts w:hint="eastAsia" w:ascii="FangSong_GB2312" w:hAnsi="黑体" w:eastAsia="FangSong_GB2312"/>
                <w:kern w:val="0"/>
                <w:szCs w:val="21"/>
              </w:rPr>
              <w:t>3.危及“三安全一稳定”</w:t>
            </w:r>
          </w:p>
        </w:tc>
        <w:tc>
          <w:tcPr>
            <w:tcW w:w="747"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540"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540"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720"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675"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525"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701"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trPr>
        <w:tc>
          <w:tcPr>
            <w:tcW w:w="416" w:type="dxa"/>
            <w:vMerge w:val="continue"/>
            <w:shd w:val="clear" w:color="auto" w:fill="auto"/>
            <w:tcMar>
              <w:left w:w="108" w:type="dxa"/>
              <w:right w:w="108" w:type="dxa"/>
            </w:tcMar>
            <w:vAlign w:val="center"/>
          </w:tcPr>
          <w:p>
            <w:pPr>
              <w:rPr>
                <w:rFonts w:ascii="黑体" w:hAnsi="黑体" w:eastAsia="黑体"/>
                <w:color w:val="000000" w:themeColor="text1"/>
                <w:szCs w:val="21"/>
                <w14:textFill>
                  <w14:solidFill>
                    <w14:schemeClr w14:val="tx1"/>
                  </w14:solidFill>
                </w14:textFill>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FangSong_GB2312" w:hAnsi="黑体" w:eastAsia="FangSong_GB2312"/>
                <w:kern w:val="0"/>
                <w:szCs w:val="21"/>
              </w:rPr>
            </w:pPr>
            <w:r>
              <w:rPr>
                <w:rFonts w:hint="eastAsia" w:ascii="FangSong_GB2312" w:hAnsi="黑体" w:eastAsia="FangSong_GB2312"/>
                <w:kern w:val="0"/>
                <w:szCs w:val="21"/>
              </w:rPr>
              <w:t>4.</w:t>
            </w:r>
            <w:bookmarkStart w:id="3" w:name="_Hlk66974290"/>
            <w:r>
              <w:rPr>
                <w:rFonts w:hint="eastAsia" w:ascii="FangSong_GB2312" w:hAnsi="黑体" w:eastAsia="FangSong_GB2312"/>
                <w:kern w:val="0"/>
                <w:szCs w:val="21"/>
              </w:rPr>
              <w:t>保护第三方合法权益</w:t>
            </w:r>
            <w:bookmarkEnd w:id="3"/>
          </w:p>
        </w:tc>
        <w:tc>
          <w:tcPr>
            <w:tcW w:w="747"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540"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540"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720"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675"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525"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701"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trPr>
        <w:tc>
          <w:tcPr>
            <w:tcW w:w="416" w:type="dxa"/>
            <w:vMerge w:val="continue"/>
            <w:shd w:val="clear" w:color="auto" w:fill="auto"/>
            <w:tcMar>
              <w:left w:w="108" w:type="dxa"/>
              <w:right w:w="108" w:type="dxa"/>
            </w:tcMar>
            <w:vAlign w:val="center"/>
          </w:tcPr>
          <w:p>
            <w:pPr>
              <w:rPr>
                <w:rFonts w:ascii="黑体" w:hAnsi="黑体" w:eastAsia="黑体"/>
                <w:color w:val="000000" w:themeColor="text1"/>
                <w:szCs w:val="21"/>
                <w14:textFill>
                  <w14:solidFill>
                    <w14:schemeClr w14:val="tx1"/>
                  </w14:solidFill>
                </w14:textFill>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FangSong_GB2312" w:hAnsi="黑体" w:eastAsia="FangSong_GB2312"/>
                <w:kern w:val="0"/>
                <w:szCs w:val="21"/>
              </w:rPr>
            </w:pPr>
            <w:r>
              <w:rPr>
                <w:rFonts w:hint="eastAsia" w:ascii="FangSong_GB2312" w:hAnsi="黑体" w:eastAsia="FangSong_GB2312"/>
                <w:kern w:val="0"/>
                <w:szCs w:val="21"/>
              </w:rPr>
              <w:t>5.属于三类内部事务信息</w:t>
            </w:r>
          </w:p>
        </w:tc>
        <w:tc>
          <w:tcPr>
            <w:tcW w:w="747"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540"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540"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720"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675"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525"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701"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trPr>
        <w:tc>
          <w:tcPr>
            <w:tcW w:w="416" w:type="dxa"/>
            <w:vMerge w:val="continue"/>
            <w:shd w:val="clear" w:color="auto" w:fill="auto"/>
            <w:tcMar>
              <w:left w:w="108" w:type="dxa"/>
              <w:right w:w="108" w:type="dxa"/>
            </w:tcMar>
            <w:vAlign w:val="center"/>
          </w:tcPr>
          <w:p>
            <w:pPr>
              <w:rPr>
                <w:rFonts w:ascii="黑体" w:hAnsi="黑体" w:eastAsia="黑体"/>
                <w:color w:val="000000" w:themeColor="text1"/>
                <w:szCs w:val="21"/>
                <w14:textFill>
                  <w14:solidFill>
                    <w14:schemeClr w14:val="tx1"/>
                  </w14:solidFill>
                </w14:textFill>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FangSong_GB2312" w:hAnsi="黑体" w:eastAsia="FangSong_GB2312"/>
                <w:kern w:val="0"/>
                <w:szCs w:val="21"/>
              </w:rPr>
            </w:pPr>
            <w:r>
              <w:rPr>
                <w:rFonts w:hint="eastAsia" w:ascii="FangSong_GB2312" w:hAnsi="黑体" w:eastAsia="FangSong_GB2312"/>
                <w:kern w:val="0"/>
                <w:szCs w:val="21"/>
              </w:rPr>
              <w:t>6.</w:t>
            </w:r>
            <w:bookmarkStart w:id="4" w:name="_Hlk66974555"/>
            <w:r>
              <w:rPr>
                <w:rFonts w:hint="eastAsia" w:ascii="FangSong_GB2312" w:hAnsi="黑体" w:eastAsia="FangSong_GB2312"/>
                <w:kern w:val="0"/>
                <w:szCs w:val="21"/>
              </w:rPr>
              <w:t>属于四类过程性信息</w:t>
            </w:r>
            <w:bookmarkEnd w:id="4"/>
          </w:p>
        </w:tc>
        <w:tc>
          <w:tcPr>
            <w:tcW w:w="747"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1</w:t>
            </w:r>
          </w:p>
        </w:tc>
        <w:tc>
          <w:tcPr>
            <w:tcW w:w="540"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540"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720"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675"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525"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701"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trPr>
        <w:tc>
          <w:tcPr>
            <w:tcW w:w="416" w:type="dxa"/>
            <w:vMerge w:val="continue"/>
            <w:shd w:val="clear" w:color="auto" w:fill="auto"/>
            <w:tcMar>
              <w:left w:w="108" w:type="dxa"/>
              <w:right w:w="108" w:type="dxa"/>
            </w:tcMar>
            <w:vAlign w:val="center"/>
          </w:tcPr>
          <w:p>
            <w:pPr>
              <w:rPr>
                <w:rFonts w:ascii="黑体" w:hAnsi="黑体" w:eastAsia="黑体"/>
                <w:color w:val="000000" w:themeColor="text1"/>
                <w:szCs w:val="21"/>
                <w14:textFill>
                  <w14:solidFill>
                    <w14:schemeClr w14:val="tx1"/>
                  </w14:solidFill>
                </w14:textFill>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FangSong_GB2312" w:hAnsi="黑体" w:eastAsia="FangSong_GB2312"/>
                <w:kern w:val="0"/>
                <w:szCs w:val="21"/>
              </w:rPr>
            </w:pPr>
            <w:r>
              <w:rPr>
                <w:rFonts w:hint="eastAsia" w:ascii="FangSong_GB2312" w:hAnsi="黑体" w:eastAsia="FangSong_GB2312"/>
                <w:kern w:val="0"/>
                <w:szCs w:val="21"/>
              </w:rPr>
              <w:t>7.属于行政执法案卷</w:t>
            </w:r>
          </w:p>
        </w:tc>
        <w:tc>
          <w:tcPr>
            <w:tcW w:w="747"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540"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540"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720"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675"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525"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701"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trPr>
        <w:tc>
          <w:tcPr>
            <w:tcW w:w="416" w:type="dxa"/>
            <w:vMerge w:val="continue"/>
            <w:shd w:val="clear" w:color="auto" w:fill="auto"/>
            <w:tcMar>
              <w:left w:w="108" w:type="dxa"/>
              <w:right w:w="108" w:type="dxa"/>
            </w:tcMar>
            <w:vAlign w:val="center"/>
          </w:tcPr>
          <w:p>
            <w:pPr>
              <w:rPr>
                <w:rFonts w:ascii="黑体" w:hAnsi="黑体" w:eastAsia="黑体"/>
                <w:color w:val="000000" w:themeColor="text1"/>
                <w:szCs w:val="21"/>
                <w14:textFill>
                  <w14:solidFill>
                    <w14:schemeClr w14:val="tx1"/>
                  </w14:solidFill>
                </w14:textFill>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FangSong_GB2312" w:hAnsi="黑体" w:eastAsia="FangSong_GB2312"/>
                <w:kern w:val="0"/>
                <w:szCs w:val="21"/>
              </w:rPr>
            </w:pPr>
            <w:r>
              <w:rPr>
                <w:rFonts w:hint="eastAsia" w:ascii="FangSong_GB2312" w:hAnsi="黑体" w:eastAsia="FangSong_GB2312"/>
                <w:kern w:val="0"/>
                <w:szCs w:val="21"/>
              </w:rPr>
              <w:t>8.</w:t>
            </w:r>
            <w:bookmarkStart w:id="5" w:name="_Hlk66975211"/>
            <w:r>
              <w:rPr>
                <w:rFonts w:hint="eastAsia" w:ascii="FangSong_GB2312" w:hAnsi="黑体" w:eastAsia="FangSong_GB2312"/>
                <w:kern w:val="0"/>
                <w:szCs w:val="21"/>
              </w:rPr>
              <w:t>属于行政查询事项</w:t>
            </w:r>
            <w:bookmarkEnd w:id="5"/>
          </w:p>
        </w:tc>
        <w:tc>
          <w:tcPr>
            <w:tcW w:w="747"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540"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540"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720"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675"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525"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701"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trPr>
        <w:tc>
          <w:tcPr>
            <w:tcW w:w="416" w:type="dxa"/>
            <w:vMerge w:val="continue"/>
            <w:shd w:val="clear" w:color="auto" w:fill="auto"/>
            <w:tcMar>
              <w:left w:w="108" w:type="dxa"/>
              <w:right w:w="108" w:type="dxa"/>
            </w:tcMar>
            <w:vAlign w:val="center"/>
          </w:tcPr>
          <w:p>
            <w:pPr>
              <w:rPr>
                <w:rFonts w:ascii="黑体" w:hAnsi="黑体" w:eastAsia="黑体"/>
                <w:color w:val="000000" w:themeColor="text1"/>
                <w:szCs w:val="21"/>
                <w14:textFill>
                  <w14:solidFill>
                    <w14:schemeClr w14:val="tx1"/>
                  </w14:solidFill>
                </w14:textFill>
              </w:rPr>
            </w:pPr>
          </w:p>
        </w:tc>
        <w:tc>
          <w:tcPr>
            <w:tcW w:w="1701" w:type="dxa"/>
            <w:vMerge w:val="restart"/>
            <w:shd w:val="clear" w:color="auto" w:fill="auto"/>
            <w:tcMar>
              <w:left w:w="108" w:type="dxa"/>
              <w:right w:w="108" w:type="dxa"/>
            </w:tcMar>
            <w:vAlign w:val="center"/>
          </w:tcPr>
          <w:p>
            <w:pPr>
              <w:widowControl/>
              <w:spacing w:line="200" w:lineRule="exact"/>
              <w:ind w:left="-107" w:leftChars="-51"/>
              <w:rPr>
                <w:rFonts w:ascii="黑体" w:hAnsi="黑体" w:eastAsia="黑体"/>
                <w:szCs w:val="21"/>
              </w:rPr>
            </w:pPr>
            <w:r>
              <w:rPr>
                <w:rFonts w:hint="eastAsia" w:ascii="黑体" w:hAnsi="黑体" w:eastAsia="黑体"/>
                <w:kern w:val="0"/>
                <w:szCs w:val="21"/>
              </w:rPr>
              <w:t>（四）无法提供</w:t>
            </w:r>
          </w:p>
        </w:tc>
        <w:tc>
          <w:tcPr>
            <w:tcW w:w="2976" w:type="dxa"/>
            <w:shd w:val="clear" w:color="auto" w:fill="auto"/>
            <w:tcMar>
              <w:left w:w="108" w:type="dxa"/>
              <w:right w:w="108" w:type="dxa"/>
            </w:tcMar>
            <w:vAlign w:val="center"/>
          </w:tcPr>
          <w:p>
            <w:pPr>
              <w:widowControl/>
              <w:spacing w:line="200" w:lineRule="exact"/>
              <w:rPr>
                <w:rFonts w:ascii="FangSong_GB2312" w:hAnsi="黑体" w:eastAsia="FangSong_GB2312"/>
                <w:kern w:val="0"/>
                <w:szCs w:val="21"/>
              </w:rPr>
            </w:pPr>
            <w:r>
              <w:rPr>
                <w:rFonts w:hint="eastAsia" w:ascii="FangSong_GB2312" w:hAnsi="黑体" w:eastAsia="FangSong_GB2312"/>
                <w:kern w:val="0"/>
                <w:szCs w:val="21"/>
              </w:rPr>
              <w:t>1.本机关不掌握相关政府信息</w:t>
            </w:r>
          </w:p>
        </w:tc>
        <w:tc>
          <w:tcPr>
            <w:tcW w:w="747"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51</w:t>
            </w:r>
          </w:p>
        </w:tc>
        <w:tc>
          <w:tcPr>
            <w:tcW w:w="540"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540"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720"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675"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525"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701" w:type="dxa"/>
            <w:shd w:val="clear" w:color="auto" w:fill="auto"/>
            <w:tcMar>
              <w:left w:w="108" w:type="dxa"/>
              <w:right w:w="108" w:type="dxa"/>
            </w:tcMar>
            <w:vAlign w:val="center"/>
          </w:tcPr>
          <w:p>
            <w:pPr>
              <w:widowControl/>
              <w:spacing w:line="240" w:lineRule="exact"/>
              <w:jc w:val="center"/>
              <w:rPr>
                <w:rFonts w:hint="eastAsia" w:ascii="FangSong_GB2312" w:hAnsi="Times New Roman" w:eastAsia="FangSong_GB2312"/>
                <w:szCs w:val="21"/>
                <w:lang w:eastAsia="zh-CN"/>
              </w:rPr>
            </w:pPr>
            <w:r>
              <w:rPr>
                <w:rFonts w:hint="eastAsia" w:ascii="FangSong_GB2312" w:hAnsi="Times New Roman" w:eastAsia="FangSong_GB2312"/>
                <w:szCs w:val="21"/>
              </w:rPr>
              <w:t>5</w:t>
            </w:r>
            <w:r>
              <w:rPr>
                <w:rFonts w:hint="eastAsia" w:ascii="FangSong_GB2312" w:hAnsi="Times New Roman" w:eastAsia="FangSong_GB2312"/>
                <w:szCs w:val="21"/>
                <w:lang w:val="en-US" w:eastAsia="zh-CN"/>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trPr>
        <w:tc>
          <w:tcPr>
            <w:tcW w:w="416" w:type="dxa"/>
            <w:vMerge w:val="continue"/>
            <w:shd w:val="clear" w:color="auto" w:fill="auto"/>
            <w:tcMar>
              <w:left w:w="108" w:type="dxa"/>
              <w:right w:w="108" w:type="dxa"/>
            </w:tcMar>
            <w:vAlign w:val="center"/>
          </w:tcPr>
          <w:p>
            <w:pPr>
              <w:rPr>
                <w:rFonts w:ascii="黑体" w:hAnsi="黑体" w:eastAsia="黑体"/>
                <w:color w:val="000000" w:themeColor="text1"/>
                <w:szCs w:val="21"/>
                <w14:textFill>
                  <w14:solidFill>
                    <w14:schemeClr w14:val="tx1"/>
                  </w14:solidFill>
                </w14:textFill>
              </w:rPr>
            </w:pPr>
          </w:p>
        </w:tc>
        <w:tc>
          <w:tcPr>
            <w:tcW w:w="1701" w:type="dxa"/>
            <w:vMerge w:val="continue"/>
            <w:shd w:val="clear" w:color="auto" w:fill="auto"/>
            <w:tcMar>
              <w:left w:w="108" w:type="dxa"/>
              <w:right w:w="108" w:type="dxa"/>
            </w:tcMar>
            <w:vAlign w:val="center"/>
          </w:tcPr>
          <w:p>
            <w:pPr>
              <w:spacing w:line="200" w:lineRule="exact"/>
              <w:ind w:left="-107" w:leftChars="-51"/>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FangSong_GB2312" w:hAnsi="黑体" w:eastAsia="FangSong_GB2312"/>
                <w:kern w:val="0"/>
                <w:szCs w:val="21"/>
              </w:rPr>
            </w:pPr>
            <w:r>
              <w:rPr>
                <w:rFonts w:hint="eastAsia" w:ascii="FangSong_GB2312" w:hAnsi="黑体" w:eastAsia="FangSong_GB2312"/>
                <w:kern w:val="0"/>
                <w:szCs w:val="21"/>
              </w:rPr>
              <w:t>2.</w:t>
            </w:r>
            <w:bookmarkStart w:id="6" w:name="_Hlk66975392"/>
            <w:r>
              <w:rPr>
                <w:rFonts w:hint="eastAsia" w:ascii="FangSong_GB2312" w:hAnsi="黑体" w:eastAsia="FangSong_GB2312"/>
                <w:kern w:val="0"/>
                <w:szCs w:val="21"/>
              </w:rPr>
              <w:t>没有现成信息需要另行制作</w:t>
            </w:r>
            <w:bookmarkEnd w:id="6"/>
          </w:p>
        </w:tc>
        <w:tc>
          <w:tcPr>
            <w:tcW w:w="747"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540"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540"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720"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675"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525"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701"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trPr>
        <w:tc>
          <w:tcPr>
            <w:tcW w:w="416" w:type="dxa"/>
            <w:vMerge w:val="continue"/>
            <w:shd w:val="clear" w:color="auto" w:fill="auto"/>
            <w:tcMar>
              <w:left w:w="108" w:type="dxa"/>
              <w:right w:w="108" w:type="dxa"/>
            </w:tcMar>
            <w:vAlign w:val="center"/>
          </w:tcPr>
          <w:p>
            <w:pPr>
              <w:rPr>
                <w:rFonts w:ascii="黑体" w:hAnsi="黑体" w:eastAsia="黑体"/>
                <w:color w:val="000000" w:themeColor="text1"/>
                <w:szCs w:val="21"/>
                <w14:textFill>
                  <w14:solidFill>
                    <w14:schemeClr w14:val="tx1"/>
                  </w14:solidFill>
                </w14:textFill>
              </w:rPr>
            </w:pPr>
          </w:p>
        </w:tc>
        <w:tc>
          <w:tcPr>
            <w:tcW w:w="1701" w:type="dxa"/>
            <w:vMerge w:val="continue"/>
            <w:shd w:val="clear" w:color="auto" w:fill="auto"/>
            <w:tcMar>
              <w:left w:w="108" w:type="dxa"/>
              <w:right w:w="108" w:type="dxa"/>
            </w:tcMar>
            <w:vAlign w:val="center"/>
          </w:tcPr>
          <w:p>
            <w:pPr>
              <w:spacing w:line="200" w:lineRule="exact"/>
              <w:ind w:left="-107" w:leftChars="-51"/>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FangSong_GB2312" w:hAnsi="黑体" w:eastAsia="FangSong_GB2312"/>
                <w:kern w:val="0"/>
                <w:szCs w:val="21"/>
              </w:rPr>
            </w:pPr>
            <w:r>
              <w:rPr>
                <w:rFonts w:hint="eastAsia" w:ascii="FangSong_GB2312" w:hAnsi="黑体" w:eastAsia="FangSong_GB2312"/>
                <w:kern w:val="0"/>
                <w:szCs w:val="21"/>
              </w:rPr>
              <w:t>3.</w:t>
            </w:r>
            <w:bookmarkStart w:id="7" w:name="_Hlk66975466"/>
            <w:r>
              <w:rPr>
                <w:rFonts w:hint="eastAsia" w:ascii="FangSong_GB2312" w:hAnsi="黑体" w:eastAsia="FangSong_GB2312"/>
                <w:kern w:val="0"/>
                <w:szCs w:val="21"/>
              </w:rPr>
              <w:t>补正后申请内容仍不明确</w:t>
            </w:r>
            <w:bookmarkEnd w:id="7"/>
          </w:p>
        </w:tc>
        <w:tc>
          <w:tcPr>
            <w:tcW w:w="747"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540"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540"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720"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675"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525"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701"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trPr>
        <w:tc>
          <w:tcPr>
            <w:tcW w:w="416" w:type="dxa"/>
            <w:vMerge w:val="continue"/>
            <w:shd w:val="clear" w:color="auto" w:fill="auto"/>
            <w:tcMar>
              <w:left w:w="108" w:type="dxa"/>
              <w:right w:w="108" w:type="dxa"/>
            </w:tcMar>
            <w:vAlign w:val="center"/>
          </w:tcPr>
          <w:p>
            <w:pPr>
              <w:rPr>
                <w:rFonts w:ascii="黑体" w:hAnsi="黑体" w:eastAsia="黑体"/>
                <w:color w:val="000000" w:themeColor="text1"/>
                <w:szCs w:val="21"/>
                <w14:textFill>
                  <w14:solidFill>
                    <w14:schemeClr w14:val="tx1"/>
                  </w14:solidFill>
                </w14:textFill>
              </w:rPr>
            </w:pPr>
          </w:p>
        </w:tc>
        <w:tc>
          <w:tcPr>
            <w:tcW w:w="1701" w:type="dxa"/>
            <w:vMerge w:val="restart"/>
            <w:shd w:val="clear" w:color="auto" w:fill="auto"/>
            <w:tcMar>
              <w:left w:w="108" w:type="dxa"/>
              <w:right w:w="108" w:type="dxa"/>
            </w:tcMar>
            <w:vAlign w:val="center"/>
          </w:tcPr>
          <w:p>
            <w:pPr>
              <w:widowControl/>
              <w:spacing w:line="200" w:lineRule="exact"/>
              <w:ind w:left="-107" w:leftChars="-51"/>
              <w:rPr>
                <w:rFonts w:ascii="黑体" w:hAnsi="黑体" w:eastAsia="黑体"/>
                <w:szCs w:val="21"/>
              </w:rPr>
            </w:pPr>
            <w:r>
              <w:rPr>
                <w:rFonts w:hint="eastAsia" w:ascii="黑体" w:hAnsi="黑体" w:eastAsia="黑体"/>
                <w:kern w:val="0"/>
                <w:szCs w:val="21"/>
              </w:rPr>
              <w:t>（五）不予处理</w:t>
            </w:r>
          </w:p>
        </w:tc>
        <w:tc>
          <w:tcPr>
            <w:tcW w:w="2976" w:type="dxa"/>
            <w:shd w:val="clear" w:color="auto" w:fill="auto"/>
            <w:tcMar>
              <w:left w:w="108" w:type="dxa"/>
              <w:right w:w="108" w:type="dxa"/>
            </w:tcMar>
            <w:vAlign w:val="center"/>
          </w:tcPr>
          <w:p>
            <w:pPr>
              <w:widowControl/>
              <w:spacing w:line="200" w:lineRule="exact"/>
              <w:rPr>
                <w:rFonts w:ascii="FangSong_GB2312" w:hAnsi="黑体" w:eastAsia="FangSong_GB2312"/>
                <w:kern w:val="0"/>
                <w:szCs w:val="21"/>
              </w:rPr>
            </w:pPr>
            <w:r>
              <w:rPr>
                <w:rFonts w:hint="eastAsia" w:ascii="FangSong_GB2312" w:hAnsi="黑体" w:eastAsia="FangSong_GB2312"/>
                <w:kern w:val="0"/>
                <w:szCs w:val="21"/>
              </w:rPr>
              <w:t>1.</w:t>
            </w:r>
            <w:bookmarkStart w:id="8" w:name="_Hlk66975537"/>
            <w:r>
              <w:rPr>
                <w:rFonts w:hint="eastAsia" w:ascii="FangSong_GB2312" w:hAnsi="黑体" w:eastAsia="FangSong_GB2312"/>
                <w:kern w:val="0"/>
                <w:szCs w:val="21"/>
              </w:rPr>
              <w:t>信访举报投诉类申请</w:t>
            </w:r>
            <w:bookmarkEnd w:id="8"/>
          </w:p>
        </w:tc>
        <w:tc>
          <w:tcPr>
            <w:tcW w:w="747"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540"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540"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720"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675"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525"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701"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trPr>
        <w:tc>
          <w:tcPr>
            <w:tcW w:w="416" w:type="dxa"/>
            <w:vMerge w:val="continue"/>
            <w:shd w:val="clear" w:color="auto" w:fill="auto"/>
            <w:tcMar>
              <w:left w:w="108" w:type="dxa"/>
              <w:right w:w="108" w:type="dxa"/>
            </w:tcMar>
            <w:vAlign w:val="center"/>
          </w:tcPr>
          <w:p>
            <w:pPr>
              <w:rPr>
                <w:rFonts w:ascii="黑体" w:hAnsi="黑体" w:eastAsia="黑体"/>
                <w:color w:val="000000" w:themeColor="text1"/>
                <w:szCs w:val="21"/>
                <w14:textFill>
                  <w14:solidFill>
                    <w14:schemeClr w14:val="tx1"/>
                  </w14:solidFill>
                </w14:textFill>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FangSong_GB2312" w:hAnsi="黑体" w:eastAsia="FangSong_GB2312"/>
                <w:kern w:val="0"/>
                <w:szCs w:val="21"/>
              </w:rPr>
            </w:pPr>
            <w:r>
              <w:rPr>
                <w:rFonts w:hint="eastAsia" w:ascii="FangSong_GB2312" w:hAnsi="黑体" w:eastAsia="FangSong_GB2312"/>
                <w:kern w:val="0"/>
                <w:szCs w:val="21"/>
              </w:rPr>
              <w:t>2.重复申请</w:t>
            </w:r>
          </w:p>
        </w:tc>
        <w:tc>
          <w:tcPr>
            <w:tcW w:w="747"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540"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540"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720"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675"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525"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701"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trPr>
        <w:tc>
          <w:tcPr>
            <w:tcW w:w="416" w:type="dxa"/>
            <w:vMerge w:val="continue"/>
            <w:shd w:val="clear" w:color="auto" w:fill="auto"/>
            <w:tcMar>
              <w:left w:w="108" w:type="dxa"/>
              <w:right w:w="108" w:type="dxa"/>
            </w:tcMar>
            <w:vAlign w:val="center"/>
          </w:tcPr>
          <w:p>
            <w:pPr>
              <w:rPr>
                <w:rFonts w:ascii="黑体" w:hAnsi="黑体" w:eastAsia="黑体"/>
                <w:color w:val="000000" w:themeColor="text1"/>
                <w:szCs w:val="21"/>
                <w14:textFill>
                  <w14:solidFill>
                    <w14:schemeClr w14:val="tx1"/>
                  </w14:solidFill>
                </w14:textFill>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FangSong_GB2312" w:hAnsi="黑体" w:eastAsia="FangSong_GB2312"/>
                <w:szCs w:val="21"/>
              </w:rPr>
            </w:pPr>
            <w:r>
              <w:rPr>
                <w:rFonts w:hint="eastAsia" w:ascii="FangSong_GB2312" w:hAnsi="黑体" w:eastAsia="FangSong_GB2312"/>
                <w:kern w:val="0"/>
                <w:szCs w:val="21"/>
              </w:rPr>
              <w:t>3.要求提供公开出版物</w:t>
            </w:r>
          </w:p>
        </w:tc>
        <w:tc>
          <w:tcPr>
            <w:tcW w:w="747"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540"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540"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720"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675"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525"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701"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exact"/>
        </w:trPr>
        <w:tc>
          <w:tcPr>
            <w:tcW w:w="416" w:type="dxa"/>
            <w:vMerge w:val="continue"/>
            <w:shd w:val="clear" w:color="auto" w:fill="auto"/>
            <w:tcMar>
              <w:left w:w="108" w:type="dxa"/>
              <w:right w:w="108" w:type="dxa"/>
            </w:tcMar>
            <w:vAlign w:val="center"/>
          </w:tcPr>
          <w:p>
            <w:pPr>
              <w:rPr>
                <w:rFonts w:ascii="黑体" w:hAnsi="黑体" w:eastAsia="黑体"/>
                <w:color w:val="000000" w:themeColor="text1"/>
                <w:szCs w:val="21"/>
                <w14:textFill>
                  <w14:solidFill>
                    <w14:schemeClr w14:val="tx1"/>
                  </w14:solidFill>
                </w14:textFill>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FangSong_GB2312" w:hAnsi="黑体" w:eastAsia="FangSong_GB2312"/>
                <w:szCs w:val="21"/>
              </w:rPr>
            </w:pPr>
            <w:r>
              <w:rPr>
                <w:rFonts w:hint="eastAsia" w:ascii="FangSong_GB2312" w:hAnsi="黑体" w:eastAsia="FangSong_GB2312"/>
                <w:kern w:val="0"/>
                <w:szCs w:val="21"/>
              </w:rPr>
              <w:t>4.无正当理由大量反复申请</w:t>
            </w:r>
          </w:p>
        </w:tc>
        <w:tc>
          <w:tcPr>
            <w:tcW w:w="747"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540"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540"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720"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675"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525"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701"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16" w:type="dxa"/>
            <w:vMerge w:val="continue"/>
            <w:shd w:val="clear" w:color="auto" w:fill="auto"/>
            <w:tcMar>
              <w:left w:w="108" w:type="dxa"/>
              <w:right w:w="108" w:type="dxa"/>
            </w:tcMar>
            <w:vAlign w:val="center"/>
          </w:tcPr>
          <w:p>
            <w:pPr>
              <w:rPr>
                <w:rFonts w:ascii="黑体" w:hAnsi="黑体" w:eastAsia="黑体"/>
                <w:color w:val="000000" w:themeColor="text1"/>
                <w:szCs w:val="21"/>
                <w14:textFill>
                  <w14:solidFill>
                    <w14:schemeClr w14:val="tx1"/>
                  </w14:solidFill>
                </w14:textFill>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300" w:lineRule="exact"/>
              <w:rPr>
                <w:rFonts w:ascii="FangSong_GB2312" w:hAnsi="黑体" w:eastAsia="FangSong_GB2312"/>
                <w:kern w:val="0"/>
                <w:szCs w:val="21"/>
              </w:rPr>
            </w:pPr>
            <w:r>
              <w:rPr>
                <w:rFonts w:hint="eastAsia" w:ascii="FangSong_GB2312" w:hAnsi="黑体" w:eastAsia="FangSong_GB2312"/>
                <w:kern w:val="0"/>
                <w:szCs w:val="21"/>
              </w:rPr>
              <w:t>5.要求行政机关确认或重新</w:t>
            </w:r>
          </w:p>
          <w:p>
            <w:pPr>
              <w:widowControl/>
              <w:spacing w:line="300" w:lineRule="exact"/>
              <w:ind w:firstLine="210" w:firstLineChars="100"/>
              <w:rPr>
                <w:rFonts w:ascii="FangSong_GB2312" w:hAnsi="黑体" w:eastAsia="FangSong_GB2312"/>
                <w:szCs w:val="21"/>
              </w:rPr>
            </w:pPr>
            <w:r>
              <w:rPr>
                <w:rFonts w:hint="eastAsia" w:ascii="FangSong_GB2312" w:hAnsi="黑体" w:eastAsia="FangSong_GB2312"/>
                <w:kern w:val="0"/>
                <w:szCs w:val="21"/>
              </w:rPr>
              <w:t>出具已获取信息</w:t>
            </w:r>
          </w:p>
        </w:tc>
        <w:tc>
          <w:tcPr>
            <w:tcW w:w="747"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540"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540"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720"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675"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525"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c>
          <w:tcPr>
            <w:tcW w:w="701"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szCs w:val="21"/>
              </w:rPr>
            </w:pPr>
            <w:r>
              <w:rPr>
                <w:rFonts w:hint="eastAsia" w:ascii="FangSong_GB2312" w:hAnsi="Times New Roman" w:eastAsia="FangSong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16" w:type="dxa"/>
            <w:vMerge w:val="continue"/>
            <w:shd w:val="clear" w:color="auto" w:fill="auto"/>
            <w:tcMar>
              <w:left w:w="108" w:type="dxa"/>
              <w:right w:w="108" w:type="dxa"/>
            </w:tcMar>
            <w:vAlign w:val="center"/>
          </w:tcPr>
          <w:p>
            <w:pPr>
              <w:rPr>
                <w:rFonts w:ascii="黑体" w:hAnsi="黑体" w:eastAsia="黑体"/>
                <w:color w:val="000000" w:themeColor="text1"/>
                <w:szCs w:val="21"/>
                <w14:textFill>
                  <w14:solidFill>
                    <w14:schemeClr w14:val="tx1"/>
                  </w14:solidFill>
                </w14:textFill>
              </w:rPr>
            </w:pPr>
          </w:p>
        </w:tc>
        <w:tc>
          <w:tcPr>
            <w:tcW w:w="1701" w:type="dxa"/>
            <w:vMerge w:val="restart"/>
            <w:shd w:val="clear" w:color="auto" w:fill="auto"/>
            <w:tcMar>
              <w:left w:w="108" w:type="dxa"/>
              <w:right w:w="108" w:type="dxa"/>
            </w:tcMar>
            <w:vAlign w:val="center"/>
          </w:tcPr>
          <w:p>
            <w:pPr>
              <w:widowControl/>
              <w:spacing w:line="300" w:lineRule="exact"/>
              <w:rPr>
                <w:rFonts w:ascii="黑体" w:hAnsi="黑体" w:eastAsia="黑体"/>
                <w:kern w:val="0"/>
                <w:szCs w:val="21"/>
              </w:rPr>
            </w:pPr>
            <w:r>
              <w:rPr>
                <w:rFonts w:hint="eastAsia" w:ascii="黑体" w:hAnsi="黑体" w:eastAsia="黑体"/>
                <w:kern w:val="0"/>
                <w:szCs w:val="21"/>
              </w:rPr>
              <w:t>（六）其他处理</w:t>
            </w:r>
          </w:p>
        </w:tc>
        <w:tc>
          <w:tcPr>
            <w:tcW w:w="2976" w:type="dxa"/>
            <w:shd w:val="clear" w:color="auto" w:fill="auto"/>
            <w:vAlign w:val="center"/>
          </w:tcPr>
          <w:p>
            <w:pPr>
              <w:widowControl/>
              <w:spacing w:line="300" w:lineRule="exact"/>
              <w:rPr>
                <w:rFonts w:ascii="FangSong_GB2312" w:hAnsi="楷体" w:eastAsia="FangSong_GB2312"/>
              </w:rPr>
            </w:pPr>
            <w:r>
              <w:rPr>
                <w:rFonts w:hint="eastAsia" w:ascii="FangSong_GB2312" w:hAnsi="楷体" w:eastAsia="FangSong_GB2312"/>
              </w:rPr>
              <w:t>1.申请人无正当理由逾期不补正、行政机关不再处理其政府信息公开申请</w:t>
            </w:r>
          </w:p>
        </w:tc>
        <w:tc>
          <w:tcPr>
            <w:tcW w:w="747"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color w:val="0D0D0D" w:themeColor="text1" w:themeTint="F2"/>
                <w:szCs w:val="21"/>
                <w14:textFill>
                  <w14:solidFill>
                    <w14:schemeClr w14:val="tx1">
                      <w14:lumMod w14:val="95000"/>
                      <w14:lumOff w14:val="5000"/>
                    </w14:schemeClr>
                  </w14:solidFill>
                </w14:textFill>
              </w:rPr>
            </w:pPr>
            <w:r>
              <w:rPr>
                <w:rFonts w:hint="eastAsia" w:ascii="FangSong_GB2312" w:hAnsi="Times New Roman" w:eastAsia="FangSong_GB2312"/>
                <w:color w:val="0D0D0D" w:themeColor="text1" w:themeTint="F2"/>
                <w:szCs w:val="21"/>
                <w14:textFill>
                  <w14:solidFill>
                    <w14:schemeClr w14:val="tx1">
                      <w14:lumMod w14:val="95000"/>
                      <w14:lumOff w14:val="5000"/>
                    </w14:schemeClr>
                  </w14:solidFill>
                </w14:textFill>
              </w:rPr>
              <w:t>0</w:t>
            </w:r>
          </w:p>
        </w:tc>
        <w:tc>
          <w:tcPr>
            <w:tcW w:w="540"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color w:val="0D0D0D" w:themeColor="text1" w:themeTint="F2"/>
                <w:szCs w:val="21"/>
                <w14:textFill>
                  <w14:solidFill>
                    <w14:schemeClr w14:val="tx1">
                      <w14:lumMod w14:val="95000"/>
                      <w14:lumOff w14:val="5000"/>
                    </w14:schemeClr>
                  </w14:solidFill>
                </w14:textFill>
              </w:rPr>
            </w:pPr>
            <w:r>
              <w:rPr>
                <w:rFonts w:hint="eastAsia" w:ascii="FangSong_GB2312" w:hAnsi="Times New Roman" w:eastAsia="FangSong_GB2312"/>
                <w:color w:val="0D0D0D" w:themeColor="text1" w:themeTint="F2"/>
                <w:szCs w:val="21"/>
                <w14:textFill>
                  <w14:solidFill>
                    <w14:schemeClr w14:val="tx1">
                      <w14:lumMod w14:val="95000"/>
                      <w14:lumOff w14:val="5000"/>
                    </w14:schemeClr>
                  </w14:solidFill>
                </w14:textFill>
              </w:rPr>
              <w:t>0</w:t>
            </w:r>
          </w:p>
        </w:tc>
        <w:tc>
          <w:tcPr>
            <w:tcW w:w="540"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color w:val="0D0D0D" w:themeColor="text1" w:themeTint="F2"/>
                <w:szCs w:val="21"/>
                <w14:textFill>
                  <w14:solidFill>
                    <w14:schemeClr w14:val="tx1">
                      <w14:lumMod w14:val="95000"/>
                      <w14:lumOff w14:val="5000"/>
                    </w14:schemeClr>
                  </w14:solidFill>
                </w14:textFill>
              </w:rPr>
            </w:pPr>
            <w:r>
              <w:rPr>
                <w:rFonts w:hint="eastAsia" w:ascii="FangSong_GB2312" w:hAnsi="Times New Roman" w:eastAsia="FangSong_GB2312"/>
                <w:color w:val="0D0D0D" w:themeColor="text1" w:themeTint="F2"/>
                <w:szCs w:val="21"/>
                <w14:textFill>
                  <w14:solidFill>
                    <w14:schemeClr w14:val="tx1">
                      <w14:lumMod w14:val="95000"/>
                      <w14:lumOff w14:val="5000"/>
                    </w14:schemeClr>
                  </w14:solidFill>
                </w14:textFill>
              </w:rPr>
              <w:t>0</w:t>
            </w:r>
          </w:p>
        </w:tc>
        <w:tc>
          <w:tcPr>
            <w:tcW w:w="720"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color w:val="0D0D0D" w:themeColor="text1" w:themeTint="F2"/>
                <w:szCs w:val="21"/>
                <w14:textFill>
                  <w14:solidFill>
                    <w14:schemeClr w14:val="tx1">
                      <w14:lumMod w14:val="95000"/>
                      <w14:lumOff w14:val="5000"/>
                    </w14:schemeClr>
                  </w14:solidFill>
                </w14:textFill>
              </w:rPr>
            </w:pPr>
            <w:r>
              <w:rPr>
                <w:rFonts w:hint="eastAsia" w:ascii="FangSong_GB2312" w:hAnsi="Times New Roman" w:eastAsia="FangSong_GB2312"/>
                <w:color w:val="0D0D0D" w:themeColor="text1" w:themeTint="F2"/>
                <w:szCs w:val="21"/>
                <w14:textFill>
                  <w14:solidFill>
                    <w14:schemeClr w14:val="tx1">
                      <w14:lumMod w14:val="95000"/>
                      <w14:lumOff w14:val="5000"/>
                    </w14:schemeClr>
                  </w14:solidFill>
                </w14:textFill>
              </w:rPr>
              <w:t>0</w:t>
            </w:r>
          </w:p>
        </w:tc>
        <w:tc>
          <w:tcPr>
            <w:tcW w:w="675"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color w:val="0D0D0D" w:themeColor="text1" w:themeTint="F2"/>
                <w:szCs w:val="21"/>
                <w14:textFill>
                  <w14:solidFill>
                    <w14:schemeClr w14:val="tx1">
                      <w14:lumMod w14:val="95000"/>
                      <w14:lumOff w14:val="5000"/>
                    </w14:schemeClr>
                  </w14:solidFill>
                </w14:textFill>
              </w:rPr>
            </w:pPr>
            <w:r>
              <w:rPr>
                <w:rFonts w:hint="eastAsia" w:ascii="FangSong_GB2312" w:hAnsi="Times New Roman" w:eastAsia="FangSong_GB2312"/>
                <w:color w:val="0D0D0D" w:themeColor="text1" w:themeTint="F2"/>
                <w:szCs w:val="21"/>
                <w14:textFill>
                  <w14:solidFill>
                    <w14:schemeClr w14:val="tx1">
                      <w14:lumMod w14:val="95000"/>
                      <w14:lumOff w14:val="5000"/>
                    </w14:schemeClr>
                  </w14:solidFill>
                </w14:textFill>
              </w:rPr>
              <w:t>0</w:t>
            </w:r>
          </w:p>
        </w:tc>
        <w:tc>
          <w:tcPr>
            <w:tcW w:w="525"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color w:val="0D0D0D" w:themeColor="text1" w:themeTint="F2"/>
                <w:szCs w:val="21"/>
                <w14:textFill>
                  <w14:solidFill>
                    <w14:schemeClr w14:val="tx1">
                      <w14:lumMod w14:val="95000"/>
                      <w14:lumOff w14:val="5000"/>
                    </w14:schemeClr>
                  </w14:solidFill>
                </w14:textFill>
              </w:rPr>
            </w:pPr>
            <w:r>
              <w:rPr>
                <w:rFonts w:hint="eastAsia" w:ascii="FangSong_GB2312" w:hAnsi="Times New Roman" w:eastAsia="FangSong_GB2312"/>
                <w:color w:val="0D0D0D" w:themeColor="text1" w:themeTint="F2"/>
                <w:szCs w:val="21"/>
                <w14:textFill>
                  <w14:solidFill>
                    <w14:schemeClr w14:val="tx1">
                      <w14:lumMod w14:val="95000"/>
                      <w14:lumOff w14:val="5000"/>
                    </w14:schemeClr>
                  </w14:solidFill>
                </w14:textFill>
              </w:rPr>
              <w:t>0</w:t>
            </w:r>
          </w:p>
        </w:tc>
        <w:tc>
          <w:tcPr>
            <w:tcW w:w="701"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color w:val="0D0D0D" w:themeColor="text1" w:themeTint="F2"/>
                <w:szCs w:val="21"/>
                <w14:textFill>
                  <w14:solidFill>
                    <w14:schemeClr w14:val="tx1">
                      <w14:lumMod w14:val="95000"/>
                      <w14:lumOff w14:val="5000"/>
                    </w14:schemeClr>
                  </w14:solidFill>
                </w14:textFill>
              </w:rPr>
            </w:pPr>
            <w:r>
              <w:rPr>
                <w:rFonts w:hint="eastAsia" w:ascii="FangSong_GB2312" w:hAnsi="Times New Roman" w:eastAsia="FangSong_GB2312"/>
                <w:color w:val="0D0D0D" w:themeColor="text1" w:themeTint="F2"/>
                <w:szCs w:val="21"/>
                <w14:textFill>
                  <w14:solidFill>
                    <w14:schemeClr w14:val="tx1">
                      <w14:lumMod w14:val="95000"/>
                      <w14:lumOff w14:val="5000"/>
                    </w14:schemeClr>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16" w:type="dxa"/>
            <w:vMerge w:val="continue"/>
            <w:shd w:val="clear" w:color="auto" w:fill="auto"/>
            <w:tcMar>
              <w:left w:w="108" w:type="dxa"/>
              <w:right w:w="108" w:type="dxa"/>
            </w:tcMar>
            <w:vAlign w:val="center"/>
          </w:tcPr>
          <w:p>
            <w:pPr>
              <w:rPr>
                <w:rFonts w:ascii="黑体" w:hAnsi="黑体" w:eastAsia="黑体"/>
                <w:color w:val="000000" w:themeColor="text1"/>
                <w:szCs w:val="21"/>
                <w14:textFill>
                  <w14:solidFill>
                    <w14:schemeClr w14:val="tx1"/>
                  </w14:solidFill>
                </w14:textFill>
              </w:rPr>
            </w:pPr>
          </w:p>
        </w:tc>
        <w:tc>
          <w:tcPr>
            <w:tcW w:w="1701" w:type="dxa"/>
            <w:vMerge w:val="continue"/>
            <w:shd w:val="clear" w:color="auto" w:fill="auto"/>
            <w:tcMar>
              <w:left w:w="108" w:type="dxa"/>
              <w:right w:w="108" w:type="dxa"/>
            </w:tcMar>
            <w:vAlign w:val="center"/>
          </w:tcPr>
          <w:p>
            <w:pPr>
              <w:widowControl/>
              <w:spacing w:line="300" w:lineRule="exact"/>
              <w:rPr>
                <w:rFonts w:ascii="黑体" w:hAnsi="黑体" w:eastAsia="黑体"/>
                <w:kern w:val="0"/>
                <w:szCs w:val="21"/>
              </w:rPr>
            </w:pPr>
          </w:p>
        </w:tc>
        <w:tc>
          <w:tcPr>
            <w:tcW w:w="2976" w:type="dxa"/>
            <w:shd w:val="clear" w:color="auto" w:fill="auto"/>
            <w:vAlign w:val="center"/>
          </w:tcPr>
          <w:p>
            <w:pPr>
              <w:widowControl/>
              <w:spacing w:line="300" w:lineRule="exact"/>
              <w:rPr>
                <w:rFonts w:ascii="FangSong_GB2312" w:hAnsi="黑体" w:eastAsia="FangSong_GB2312"/>
                <w:kern w:val="0"/>
                <w:szCs w:val="21"/>
              </w:rPr>
            </w:pPr>
            <w:r>
              <w:rPr>
                <w:rFonts w:hint="eastAsia" w:ascii="FangSong_GB2312" w:hAnsi="楷体" w:eastAsia="FangSong_GB2312"/>
              </w:rPr>
              <w:t>2.申请人逾期未按收费通知要求缴纳费用、行政机关不再处理其政府信息公开申请</w:t>
            </w:r>
          </w:p>
        </w:tc>
        <w:tc>
          <w:tcPr>
            <w:tcW w:w="747"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color w:val="0D0D0D" w:themeColor="text1" w:themeTint="F2"/>
                <w:szCs w:val="21"/>
                <w14:textFill>
                  <w14:solidFill>
                    <w14:schemeClr w14:val="tx1">
                      <w14:lumMod w14:val="95000"/>
                      <w14:lumOff w14:val="5000"/>
                    </w14:schemeClr>
                  </w14:solidFill>
                </w14:textFill>
              </w:rPr>
            </w:pPr>
            <w:r>
              <w:rPr>
                <w:rFonts w:hint="eastAsia" w:ascii="FangSong_GB2312" w:hAnsi="Times New Roman" w:eastAsia="FangSong_GB2312"/>
                <w:color w:val="0D0D0D" w:themeColor="text1" w:themeTint="F2"/>
                <w:szCs w:val="21"/>
                <w14:textFill>
                  <w14:solidFill>
                    <w14:schemeClr w14:val="tx1">
                      <w14:lumMod w14:val="95000"/>
                      <w14:lumOff w14:val="5000"/>
                    </w14:schemeClr>
                  </w14:solidFill>
                </w14:textFill>
              </w:rPr>
              <w:t>0</w:t>
            </w:r>
          </w:p>
        </w:tc>
        <w:tc>
          <w:tcPr>
            <w:tcW w:w="540"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color w:val="0D0D0D" w:themeColor="text1" w:themeTint="F2"/>
                <w:szCs w:val="21"/>
                <w14:textFill>
                  <w14:solidFill>
                    <w14:schemeClr w14:val="tx1">
                      <w14:lumMod w14:val="95000"/>
                      <w14:lumOff w14:val="5000"/>
                    </w14:schemeClr>
                  </w14:solidFill>
                </w14:textFill>
              </w:rPr>
            </w:pPr>
            <w:r>
              <w:rPr>
                <w:rFonts w:hint="eastAsia" w:ascii="FangSong_GB2312" w:hAnsi="Times New Roman" w:eastAsia="FangSong_GB2312"/>
                <w:color w:val="0D0D0D" w:themeColor="text1" w:themeTint="F2"/>
                <w:szCs w:val="21"/>
                <w14:textFill>
                  <w14:solidFill>
                    <w14:schemeClr w14:val="tx1">
                      <w14:lumMod w14:val="95000"/>
                      <w14:lumOff w14:val="5000"/>
                    </w14:schemeClr>
                  </w14:solidFill>
                </w14:textFill>
              </w:rPr>
              <w:t>0</w:t>
            </w:r>
          </w:p>
        </w:tc>
        <w:tc>
          <w:tcPr>
            <w:tcW w:w="540"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color w:val="0D0D0D" w:themeColor="text1" w:themeTint="F2"/>
                <w:szCs w:val="21"/>
                <w14:textFill>
                  <w14:solidFill>
                    <w14:schemeClr w14:val="tx1">
                      <w14:lumMod w14:val="95000"/>
                      <w14:lumOff w14:val="5000"/>
                    </w14:schemeClr>
                  </w14:solidFill>
                </w14:textFill>
              </w:rPr>
            </w:pPr>
            <w:r>
              <w:rPr>
                <w:rFonts w:hint="eastAsia" w:ascii="FangSong_GB2312" w:hAnsi="Times New Roman" w:eastAsia="FangSong_GB2312"/>
                <w:color w:val="0D0D0D" w:themeColor="text1" w:themeTint="F2"/>
                <w:szCs w:val="21"/>
                <w14:textFill>
                  <w14:solidFill>
                    <w14:schemeClr w14:val="tx1">
                      <w14:lumMod w14:val="95000"/>
                      <w14:lumOff w14:val="5000"/>
                    </w14:schemeClr>
                  </w14:solidFill>
                </w14:textFill>
              </w:rPr>
              <w:t>0</w:t>
            </w:r>
          </w:p>
        </w:tc>
        <w:tc>
          <w:tcPr>
            <w:tcW w:w="720"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color w:val="0D0D0D" w:themeColor="text1" w:themeTint="F2"/>
                <w:szCs w:val="21"/>
                <w14:textFill>
                  <w14:solidFill>
                    <w14:schemeClr w14:val="tx1">
                      <w14:lumMod w14:val="95000"/>
                      <w14:lumOff w14:val="5000"/>
                    </w14:schemeClr>
                  </w14:solidFill>
                </w14:textFill>
              </w:rPr>
            </w:pPr>
            <w:r>
              <w:rPr>
                <w:rFonts w:hint="eastAsia" w:ascii="FangSong_GB2312" w:hAnsi="Times New Roman" w:eastAsia="FangSong_GB2312"/>
                <w:color w:val="0D0D0D" w:themeColor="text1" w:themeTint="F2"/>
                <w:szCs w:val="21"/>
                <w14:textFill>
                  <w14:solidFill>
                    <w14:schemeClr w14:val="tx1">
                      <w14:lumMod w14:val="95000"/>
                      <w14:lumOff w14:val="5000"/>
                    </w14:schemeClr>
                  </w14:solidFill>
                </w14:textFill>
              </w:rPr>
              <w:t>0</w:t>
            </w:r>
          </w:p>
        </w:tc>
        <w:tc>
          <w:tcPr>
            <w:tcW w:w="675"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color w:val="0D0D0D" w:themeColor="text1" w:themeTint="F2"/>
                <w:szCs w:val="21"/>
                <w14:textFill>
                  <w14:solidFill>
                    <w14:schemeClr w14:val="tx1">
                      <w14:lumMod w14:val="95000"/>
                      <w14:lumOff w14:val="5000"/>
                    </w14:schemeClr>
                  </w14:solidFill>
                </w14:textFill>
              </w:rPr>
            </w:pPr>
            <w:r>
              <w:rPr>
                <w:rFonts w:hint="eastAsia" w:ascii="FangSong_GB2312" w:hAnsi="Times New Roman" w:eastAsia="FangSong_GB2312"/>
                <w:color w:val="0D0D0D" w:themeColor="text1" w:themeTint="F2"/>
                <w:szCs w:val="21"/>
                <w14:textFill>
                  <w14:solidFill>
                    <w14:schemeClr w14:val="tx1">
                      <w14:lumMod w14:val="95000"/>
                      <w14:lumOff w14:val="5000"/>
                    </w14:schemeClr>
                  </w14:solidFill>
                </w14:textFill>
              </w:rPr>
              <w:t>0</w:t>
            </w:r>
          </w:p>
        </w:tc>
        <w:tc>
          <w:tcPr>
            <w:tcW w:w="525"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color w:val="0D0D0D" w:themeColor="text1" w:themeTint="F2"/>
                <w:szCs w:val="21"/>
                <w14:textFill>
                  <w14:solidFill>
                    <w14:schemeClr w14:val="tx1">
                      <w14:lumMod w14:val="95000"/>
                      <w14:lumOff w14:val="5000"/>
                    </w14:schemeClr>
                  </w14:solidFill>
                </w14:textFill>
              </w:rPr>
            </w:pPr>
            <w:r>
              <w:rPr>
                <w:rFonts w:hint="eastAsia" w:ascii="FangSong_GB2312" w:hAnsi="Times New Roman" w:eastAsia="FangSong_GB2312"/>
                <w:color w:val="0D0D0D" w:themeColor="text1" w:themeTint="F2"/>
                <w:szCs w:val="21"/>
                <w14:textFill>
                  <w14:solidFill>
                    <w14:schemeClr w14:val="tx1">
                      <w14:lumMod w14:val="95000"/>
                      <w14:lumOff w14:val="5000"/>
                    </w14:schemeClr>
                  </w14:solidFill>
                </w14:textFill>
              </w:rPr>
              <w:t>0</w:t>
            </w:r>
          </w:p>
        </w:tc>
        <w:tc>
          <w:tcPr>
            <w:tcW w:w="701"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color w:val="0D0D0D" w:themeColor="text1" w:themeTint="F2"/>
                <w:szCs w:val="21"/>
                <w14:textFill>
                  <w14:solidFill>
                    <w14:schemeClr w14:val="tx1">
                      <w14:lumMod w14:val="95000"/>
                      <w14:lumOff w14:val="5000"/>
                    </w14:schemeClr>
                  </w14:solidFill>
                </w14:textFill>
              </w:rPr>
            </w:pPr>
            <w:r>
              <w:rPr>
                <w:rFonts w:hint="eastAsia" w:ascii="FangSong_GB2312" w:hAnsi="Times New Roman" w:eastAsia="FangSong_GB2312"/>
                <w:color w:val="0D0D0D" w:themeColor="text1" w:themeTint="F2"/>
                <w:szCs w:val="21"/>
                <w14:textFill>
                  <w14:solidFill>
                    <w14:schemeClr w14:val="tx1">
                      <w14:lumMod w14:val="95000"/>
                      <w14:lumOff w14:val="5000"/>
                    </w14:schemeClr>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16" w:type="dxa"/>
            <w:vMerge w:val="continue"/>
            <w:shd w:val="clear" w:color="auto" w:fill="auto"/>
            <w:tcMar>
              <w:left w:w="108" w:type="dxa"/>
              <w:right w:w="108" w:type="dxa"/>
            </w:tcMar>
            <w:vAlign w:val="center"/>
          </w:tcPr>
          <w:p>
            <w:pPr>
              <w:rPr>
                <w:rFonts w:ascii="黑体" w:hAnsi="黑体" w:eastAsia="黑体"/>
                <w:color w:val="000000" w:themeColor="text1"/>
                <w:szCs w:val="21"/>
                <w14:textFill>
                  <w14:solidFill>
                    <w14:schemeClr w14:val="tx1"/>
                  </w14:solidFill>
                </w14:textFill>
              </w:rPr>
            </w:pPr>
          </w:p>
        </w:tc>
        <w:tc>
          <w:tcPr>
            <w:tcW w:w="1701" w:type="dxa"/>
            <w:vMerge w:val="continue"/>
            <w:shd w:val="clear" w:color="auto" w:fill="auto"/>
            <w:tcMar>
              <w:left w:w="108" w:type="dxa"/>
              <w:right w:w="108" w:type="dxa"/>
            </w:tcMar>
            <w:vAlign w:val="center"/>
          </w:tcPr>
          <w:p>
            <w:pPr>
              <w:widowControl/>
              <w:spacing w:line="300" w:lineRule="exact"/>
              <w:rPr>
                <w:rFonts w:ascii="黑体" w:hAnsi="黑体" w:eastAsia="黑体"/>
                <w:kern w:val="0"/>
                <w:szCs w:val="21"/>
              </w:rPr>
            </w:pPr>
          </w:p>
        </w:tc>
        <w:tc>
          <w:tcPr>
            <w:tcW w:w="2976" w:type="dxa"/>
            <w:shd w:val="clear" w:color="auto" w:fill="auto"/>
            <w:vAlign w:val="center"/>
          </w:tcPr>
          <w:p>
            <w:pPr>
              <w:widowControl/>
              <w:spacing w:line="300" w:lineRule="exact"/>
              <w:rPr>
                <w:rFonts w:ascii="FangSong_GB2312" w:hAnsi="黑体" w:eastAsia="FangSong_GB2312"/>
                <w:kern w:val="0"/>
                <w:szCs w:val="21"/>
              </w:rPr>
            </w:pPr>
            <w:r>
              <w:rPr>
                <w:rFonts w:hint="eastAsia" w:ascii="FangSong_GB2312" w:hAnsi="楷体" w:eastAsia="FangSong_GB2312"/>
              </w:rPr>
              <w:t>3.其他</w:t>
            </w:r>
          </w:p>
        </w:tc>
        <w:tc>
          <w:tcPr>
            <w:tcW w:w="747"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color w:val="0D0D0D" w:themeColor="text1" w:themeTint="F2"/>
                <w:szCs w:val="21"/>
                <w14:textFill>
                  <w14:solidFill>
                    <w14:schemeClr w14:val="tx1">
                      <w14:lumMod w14:val="95000"/>
                      <w14:lumOff w14:val="5000"/>
                    </w14:schemeClr>
                  </w14:solidFill>
                </w14:textFill>
              </w:rPr>
            </w:pPr>
            <w:r>
              <w:rPr>
                <w:rFonts w:hint="eastAsia" w:ascii="FangSong_GB2312" w:hAnsi="Times New Roman" w:eastAsia="FangSong_GB2312"/>
                <w:color w:val="0D0D0D" w:themeColor="text1" w:themeTint="F2"/>
                <w:szCs w:val="21"/>
                <w14:textFill>
                  <w14:solidFill>
                    <w14:schemeClr w14:val="tx1">
                      <w14:lumMod w14:val="95000"/>
                      <w14:lumOff w14:val="5000"/>
                    </w14:schemeClr>
                  </w14:solidFill>
                </w14:textFill>
              </w:rPr>
              <w:t>0</w:t>
            </w:r>
          </w:p>
        </w:tc>
        <w:tc>
          <w:tcPr>
            <w:tcW w:w="540"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color w:val="0D0D0D" w:themeColor="text1" w:themeTint="F2"/>
                <w:szCs w:val="21"/>
                <w14:textFill>
                  <w14:solidFill>
                    <w14:schemeClr w14:val="tx1">
                      <w14:lumMod w14:val="95000"/>
                      <w14:lumOff w14:val="5000"/>
                    </w14:schemeClr>
                  </w14:solidFill>
                </w14:textFill>
              </w:rPr>
            </w:pPr>
            <w:r>
              <w:rPr>
                <w:rFonts w:hint="eastAsia" w:ascii="FangSong_GB2312" w:hAnsi="Times New Roman" w:eastAsia="FangSong_GB2312"/>
                <w:color w:val="0D0D0D" w:themeColor="text1" w:themeTint="F2"/>
                <w:szCs w:val="21"/>
                <w14:textFill>
                  <w14:solidFill>
                    <w14:schemeClr w14:val="tx1">
                      <w14:lumMod w14:val="95000"/>
                      <w14:lumOff w14:val="5000"/>
                    </w14:schemeClr>
                  </w14:solidFill>
                </w14:textFill>
              </w:rPr>
              <w:t>0</w:t>
            </w:r>
          </w:p>
        </w:tc>
        <w:tc>
          <w:tcPr>
            <w:tcW w:w="540"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color w:val="0D0D0D" w:themeColor="text1" w:themeTint="F2"/>
                <w:szCs w:val="21"/>
                <w14:textFill>
                  <w14:solidFill>
                    <w14:schemeClr w14:val="tx1">
                      <w14:lumMod w14:val="95000"/>
                      <w14:lumOff w14:val="5000"/>
                    </w14:schemeClr>
                  </w14:solidFill>
                </w14:textFill>
              </w:rPr>
            </w:pPr>
            <w:r>
              <w:rPr>
                <w:rFonts w:hint="eastAsia" w:ascii="FangSong_GB2312" w:hAnsi="Times New Roman" w:eastAsia="FangSong_GB2312"/>
                <w:color w:val="0D0D0D" w:themeColor="text1" w:themeTint="F2"/>
                <w:szCs w:val="21"/>
                <w14:textFill>
                  <w14:solidFill>
                    <w14:schemeClr w14:val="tx1">
                      <w14:lumMod w14:val="95000"/>
                      <w14:lumOff w14:val="5000"/>
                    </w14:schemeClr>
                  </w14:solidFill>
                </w14:textFill>
              </w:rPr>
              <w:t>0</w:t>
            </w:r>
          </w:p>
        </w:tc>
        <w:tc>
          <w:tcPr>
            <w:tcW w:w="720"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color w:val="0D0D0D" w:themeColor="text1" w:themeTint="F2"/>
                <w:szCs w:val="21"/>
                <w14:textFill>
                  <w14:solidFill>
                    <w14:schemeClr w14:val="tx1">
                      <w14:lumMod w14:val="95000"/>
                      <w14:lumOff w14:val="5000"/>
                    </w14:schemeClr>
                  </w14:solidFill>
                </w14:textFill>
              </w:rPr>
            </w:pPr>
            <w:r>
              <w:rPr>
                <w:rFonts w:hint="eastAsia" w:ascii="FangSong_GB2312" w:hAnsi="Times New Roman" w:eastAsia="FangSong_GB2312"/>
                <w:color w:val="0D0D0D" w:themeColor="text1" w:themeTint="F2"/>
                <w:szCs w:val="21"/>
                <w14:textFill>
                  <w14:solidFill>
                    <w14:schemeClr w14:val="tx1">
                      <w14:lumMod w14:val="95000"/>
                      <w14:lumOff w14:val="5000"/>
                    </w14:schemeClr>
                  </w14:solidFill>
                </w14:textFill>
              </w:rPr>
              <w:t>0</w:t>
            </w:r>
          </w:p>
        </w:tc>
        <w:tc>
          <w:tcPr>
            <w:tcW w:w="675"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color w:val="0D0D0D" w:themeColor="text1" w:themeTint="F2"/>
                <w:szCs w:val="21"/>
                <w14:textFill>
                  <w14:solidFill>
                    <w14:schemeClr w14:val="tx1">
                      <w14:lumMod w14:val="95000"/>
                      <w14:lumOff w14:val="5000"/>
                    </w14:schemeClr>
                  </w14:solidFill>
                </w14:textFill>
              </w:rPr>
            </w:pPr>
            <w:r>
              <w:rPr>
                <w:rFonts w:hint="eastAsia" w:ascii="FangSong_GB2312" w:hAnsi="Times New Roman" w:eastAsia="FangSong_GB2312"/>
                <w:color w:val="0D0D0D" w:themeColor="text1" w:themeTint="F2"/>
                <w:szCs w:val="21"/>
                <w14:textFill>
                  <w14:solidFill>
                    <w14:schemeClr w14:val="tx1">
                      <w14:lumMod w14:val="95000"/>
                      <w14:lumOff w14:val="5000"/>
                    </w14:schemeClr>
                  </w14:solidFill>
                </w14:textFill>
              </w:rPr>
              <w:t>0</w:t>
            </w:r>
          </w:p>
        </w:tc>
        <w:tc>
          <w:tcPr>
            <w:tcW w:w="525"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color w:val="0D0D0D" w:themeColor="text1" w:themeTint="F2"/>
                <w:szCs w:val="21"/>
                <w14:textFill>
                  <w14:solidFill>
                    <w14:schemeClr w14:val="tx1">
                      <w14:lumMod w14:val="95000"/>
                      <w14:lumOff w14:val="5000"/>
                    </w14:schemeClr>
                  </w14:solidFill>
                </w14:textFill>
              </w:rPr>
            </w:pPr>
            <w:r>
              <w:rPr>
                <w:rFonts w:hint="eastAsia" w:ascii="FangSong_GB2312" w:hAnsi="Times New Roman" w:eastAsia="FangSong_GB2312"/>
                <w:color w:val="0D0D0D" w:themeColor="text1" w:themeTint="F2"/>
                <w:szCs w:val="21"/>
                <w14:textFill>
                  <w14:solidFill>
                    <w14:schemeClr w14:val="tx1">
                      <w14:lumMod w14:val="95000"/>
                      <w14:lumOff w14:val="5000"/>
                    </w14:schemeClr>
                  </w14:solidFill>
                </w14:textFill>
              </w:rPr>
              <w:t>0</w:t>
            </w:r>
          </w:p>
        </w:tc>
        <w:tc>
          <w:tcPr>
            <w:tcW w:w="701"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color w:val="0D0D0D" w:themeColor="text1" w:themeTint="F2"/>
                <w:szCs w:val="21"/>
                <w14:textFill>
                  <w14:solidFill>
                    <w14:schemeClr w14:val="tx1">
                      <w14:lumMod w14:val="95000"/>
                      <w14:lumOff w14:val="5000"/>
                    </w14:schemeClr>
                  </w14:solidFill>
                </w14:textFill>
              </w:rPr>
            </w:pPr>
            <w:r>
              <w:rPr>
                <w:rFonts w:hint="eastAsia" w:ascii="FangSong_GB2312" w:hAnsi="Times New Roman" w:eastAsia="FangSong_GB2312"/>
                <w:color w:val="0D0D0D" w:themeColor="text1" w:themeTint="F2"/>
                <w:szCs w:val="21"/>
                <w14:textFill>
                  <w14:solidFill>
                    <w14:schemeClr w14:val="tx1">
                      <w14:lumMod w14:val="95000"/>
                      <w14:lumOff w14:val="5000"/>
                    </w14:schemeClr>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16" w:type="dxa"/>
            <w:vMerge w:val="continue"/>
            <w:shd w:val="clear" w:color="auto" w:fill="auto"/>
            <w:tcMar>
              <w:left w:w="108" w:type="dxa"/>
              <w:right w:w="108" w:type="dxa"/>
            </w:tcMar>
            <w:vAlign w:val="center"/>
          </w:tcPr>
          <w:p>
            <w:pPr>
              <w:rPr>
                <w:rFonts w:ascii="黑体" w:hAnsi="黑体" w:eastAsia="黑体"/>
                <w:color w:val="000000" w:themeColor="text1"/>
                <w:szCs w:val="21"/>
                <w14:textFill>
                  <w14:solidFill>
                    <w14:schemeClr w14:val="tx1"/>
                  </w14:solidFill>
                </w14:textFill>
              </w:rPr>
            </w:pPr>
          </w:p>
        </w:tc>
        <w:tc>
          <w:tcPr>
            <w:tcW w:w="4677" w:type="dxa"/>
            <w:gridSpan w:val="2"/>
            <w:shd w:val="clear" w:color="auto" w:fill="auto"/>
            <w:tcMar>
              <w:left w:w="108" w:type="dxa"/>
              <w:right w:w="108" w:type="dxa"/>
            </w:tcMar>
            <w:vAlign w:val="center"/>
          </w:tcPr>
          <w:p>
            <w:pPr>
              <w:widowControl/>
              <w:spacing w:line="300" w:lineRule="exact"/>
              <w:rPr>
                <w:rFonts w:ascii="黑体" w:hAnsi="黑体" w:eastAsia="黑体"/>
                <w:color w:val="000000" w:themeColor="text1"/>
                <w:kern w:val="0"/>
                <w:szCs w:val="21"/>
                <w14:textFill>
                  <w14:solidFill>
                    <w14:schemeClr w14:val="tx1"/>
                  </w14:solidFill>
                </w14:textFill>
              </w:rPr>
            </w:pPr>
            <w:r>
              <w:rPr>
                <w:rFonts w:hint="eastAsia" w:ascii="黑体" w:hAnsi="黑体" w:eastAsia="黑体"/>
                <w:color w:val="000000" w:themeColor="text1"/>
                <w:kern w:val="0"/>
                <w:szCs w:val="21"/>
                <w14:textFill>
                  <w14:solidFill>
                    <w14:schemeClr w14:val="tx1"/>
                  </w14:solidFill>
                </w14:textFill>
              </w:rPr>
              <w:t>（七）总计</w:t>
            </w:r>
          </w:p>
        </w:tc>
        <w:tc>
          <w:tcPr>
            <w:tcW w:w="747"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color w:val="0D0D0D" w:themeColor="text1" w:themeTint="F2"/>
                <w:szCs w:val="21"/>
                <w14:textFill>
                  <w14:solidFill>
                    <w14:schemeClr w14:val="tx1">
                      <w14:lumMod w14:val="95000"/>
                      <w14:lumOff w14:val="5000"/>
                    </w14:schemeClr>
                  </w14:solidFill>
                </w14:textFill>
              </w:rPr>
            </w:pPr>
            <w:r>
              <w:rPr>
                <w:rFonts w:hint="eastAsia" w:ascii="FangSong_GB2312" w:hAnsi="Times New Roman" w:eastAsia="FangSong_GB2312"/>
                <w:color w:val="0D0D0D" w:themeColor="text1" w:themeTint="F2"/>
                <w:szCs w:val="21"/>
                <w14:textFill>
                  <w14:solidFill>
                    <w14:schemeClr w14:val="tx1">
                      <w14:lumMod w14:val="95000"/>
                      <w14:lumOff w14:val="5000"/>
                    </w14:schemeClr>
                  </w14:solidFill>
                </w14:textFill>
              </w:rPr>
              <w:t>65</w:t>
            </w:r>
          </w:p>
        </w:tc>
        <w:tc>
          <w:tcPr>
            <w:tcW w:w="540"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color w:val="0D0D0D" w:themeColor="text1" w:themeTint="F2"/>
                <w:szCs w:val="21"/>
                <w14:textFill>
                  <w14:solidFill>
                    <w14:schemeClr w14:val="tx1">
                      <w14:lumMod w14:val="95000"/>
                      <w14:lumOff w14:val="5000"/>
                    </w14:schemeClr>
                  </w14:solidFill>
                </w14:textFill>
              </w:rPr>
            </w:pPr>
            <w:r>
              <w:rPr>
                <w:rFonts w:hint="eastAsia" w:ascii="FangSong_GB2312" w:hAnsi="Times New Roman" w:eastAsia="FangSong_GB2312"/>
                <w:color w:val="0D0D0D" w:themeColor="text1" w:themeTint="F2"/>
                <w:szCs w:val="21"/>
                <w14:textFill>
                  <w14:solidFill>
                    <w14:schemeClr w14:val="tx1">
                      <w14:lumMod w14:val="95000"/>
                      <w14:lumOff w14:val="5000"/>
                    </w14:schemeClr>
                  </w14:solidFill>
                </w14:textFill>
              </w:rPr>
              <w:t>0</w:t>
            </w:r>
          </w:p>
        </w:tc>
        <w:tc>
          <w:tcPr>
            <w:tcW w:w="540"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color w:val="0D0D0D" w:themeColor="text1" w:themeTint="F2"/>
                <w:szCs w:val="21"/>
                <w14:textFill>
                  <w14:solidFill>
                    <w14:schemeClr w14:val="tx1">
                      <w14:lumMod w14:val="95000"/>
                      <w14:lumOff w14:val="5000"/>
                    </w14:schemeClr>
                  </w14:solidFill>
                </w14:textFill>
              </w:rPr>
            </w:pPr>
            <w:r>
              <w:rPr>
                <w:rFonts w:hint="eastAsia" w:ascii="FangSong_GB2312" w:hAnsi="Times New Roman" w:eastAsia="FangSong_GB2312"/>
                <w:color w:val="0D0D0D" w:themeColor="text1" w:themeTint="F2"/>
                <w:szCs w:val="21"/>
                <w14:textFill>
                  <w14:solidFill>
                    <w14:schemeClr w14:val="tx1">
                      <w14:lumMod w14:val="95000"/>
                      <w14:lumOff w14:val="5000"/>
                    </w14:schemeClr>
                  </w14:solidFill>
                </w14:textFill>
              </w:rPr>
              <w:t>0</w:t>
            </w:r>
          </w:p>
        </w:tc>
        <w:tc>
          <w:tcPr>
            <w:tcW w:w="720"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color w:val="0D0D0D" w:themeColor="text1" w:themeTint="F2"/>
                <w:szCs w:val="21"/>
                <w14:textFill>
                  <w14:solidFill>
                    <w14:schemeClr w14:val="tx1">
                      <w14:lumMod w14:val="95000"/>
                      <w14:lumOff w14:val="5000"/>
                    </w14:schemeClr>
                  </w14:solidFill>
                </w14:textFill>
              </w:rPr>
            </w:pPr>
            <w:r>
              <w:rPr>
                <w:rFonts w:hint="eastAsia" w:ascii="FangSong_GB2312" w:hAnsi="Times New Roman" w:eastAsia="FangSong_GB2312"/>
                <w:color w:val="0D0D0D" w:themeColor="text1" w:themeTint="F2"/>
                <w:szCs w:val="21"/>
                <w14:textFill>
                  <w14:solidFill>
                    <w14:schemeClr w14:val="tx1">
                      <w14:lumMod w14:val="95000"/>
                      <w14:lumOff w14:val="5000"/>
                    </w14:schemeClr>
                  </w14:solidFill>
                </w14:textFill>
              </w:rPr>
              <w:t>0</w:t>
            </w:r>
          </w:p>
        </w:tc>
        <w:tc>
          <w:tcPr>
            <w:tcW w:w="675"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color w:val="0D0D0D" w:themeColor="text1" w:themeTint="F2"/>
                <w:szCs w:val="21"/>
                <w14:textFill>
                  <w14:solidFill>
                    <w14:schemeClr w14:val="tx1">
                      <w14:lumMod w14:val="95000"/>
                      <w14:lumOff w14:val="5000"/>
                    </w14:schemeClr>
                  </w14:solidFill>
                </w14:textFill>
              </w:rPr>
            </w:pPr>
            <w:r>
              <w:rPr>
                <w:rFonts w:hint="eastAsia" w:ascii="FangSong_GB2312" w:hAnsi="Times New Roman" w:eastAsia="FangSong_GB2312"/>
                <w:color w:val="0D0D0D" w:themeColor="text1" w:themeTint="F2"/>
                <w:szCs w:val="21"/>
                <w14:textFill>
                  <w14:solidFill>
                    <w14:schemeClr w14:val="tx1">
                      <w14:lumMod w14:val="95000"/>
                      <w14:lumOff w14:val="5000"/>
                    </w14:schemeClr>
                  </w14:solidFill>
                </w14:textFill>
              </w:rPr>
              <w:t>0</w:t>
            </w:r>
          </w:p>
        </w:tc>
        <w:tc>
          <w:tcPr>
            <w:tcW w:w="525"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color w:val="0D0D0D" w:themeColor="text1" w:themeTint="F2"/>
                <w:szCs w:val="21"/>
                <w14:textFill>
                  <w14:solidFill>
                    <w14:schemeClr w14:val="tx1">
                      <w14:lumMod w14:val="95000"/>
                      <w14:lumOff w14:val="5000"/>
                    </w14:schemeClr>
                  </w14:solidFill>
                </w14:textFill>
              </w:rPr>
            </w:pPr>
            <w:r>
              <w:rPr>
                <w:rFonts w:hint="eastAsia" w:ascii="FangSong_GB2312" w:hAnsi="Times New Roman" w:eastAsia="FangSong_GB2312"/>
                <w:color w:val="0D0D0D" w:themeColor="text1" w:themeTint="F2"/>
                <w:szCs w:val="21"/>
                <w14:textFill>
                  <w14:solidFill>
                    <w14:schemeClr w14:val="tx1">
                      <w14:lumMod w14:val="95000"/>
                      <w14:lumOff w14:val="5000"/>
                    </w14:schemeClr>
                  </w14:solidFill>
                </w14:textFill>
              </w:rPr>
              <w:t>0</w:t>
            </w:r>
          </w:p>
        </w:tc>
        <w:tc>
          <w:tcPr>
            <w:tcW w:w="701"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color w:val="0D0D0D" w:themeColor="text1" w:themeTint="F2"/>
                <w:szCs w:val="21"/>
                <w14:textFill>
                  <w14:solidFill>
                    <w14:schemeClr w14:val="tx1">
                      <w14:lumMod w14:val="95000"/>
                      <w14:lumOff w14:val="5000"/>
                    </w14:schemeClr>
                  </w14:solidFill>
                </w14:textFill>
              </w:rPr>
            </w:pPr>
            <w:r>
              <w:rPr>
                <w:rFonts w:hint="eastAsia" w:ascii="FangSong_GB2312" w:hAnsi="Times New Roman" w:eastAsia="FangSong_GB2312"/>
                <w:color w:val="0D0D0D" w:themeColor="text1" w:themeTint="F2"/>
                <w:szCs w:val="21"/>
                <w14:textFill>
                  <w14:solidFill>
                    <w14:schemeClr w14:val="tx1">
                      <w14:lumMod w14:val="95000"/>
                      <w14:lumOff w14:val="5000"/>
                    </w14:schemeClr>
                  </w14:solidFill>
                </w14:textFill>
              </w:rPr>
              <w:t>65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5093" w:type="dxa"/>
            <w:gridSpan w:val="3"/>
            <w:shd w:val="clear" w:color="auto" w:fill="auto"/>
            <w:tcMar>
              <w:left w:w="108" w:type="dxa"/>
              <w:right w:w="108" w:type="dxa"/>
            </w:tcMar>
            <w:vAlign w:val="center"/>
          </w:tcPr>
          <w:p>
            <w:pPr>
              <w:widowControl/>
              <w:spacing w:line="300" w:lineRule="exact"/>
              <w:rPr>
                <w:rFonts w:ascii="黑体" w:hAnsi="黑体" w:eastAsia="黑体"/>
                <w:color w:val="000000" w:themeColor="text1"/>
                <w:kern w:val="0"/>
                <w:szCs w:val="21"/>
                <w14:textFill>
                  <w14:solidFill>
                    <w14:schemeClr w14:val="tx1"/>
                  </w14:solidFill>
                </w14:textFill>
              </w:rPr>
            </w:pPr>
            <w:r>
              <w:rPr>
                <w:rFonts w:hint="eastAsia" w:ascii="黑体" w:hAnsi="黑体" w:eastAsia="黑体"/>
                <w:color w:val="000000" w:themeColor="text1"/>
                <w:kern w:val="0"/>
                <w:szCs w:val="21"/>
                <w14:textFill>
                  <w14:solidFill>
                    <w14:schemeClr w14:val="tx1"/>
                  </w14:solidFill>
                </w14:textFill>
              </w:rPr>
              <w:t>四、结转下年度继续办理</w:t>
            </w:r>
          </w:p>
        </w:tc>
        <w:tc>
          <w:tcPr>
            <w:tcW w:w="747"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color w:val="0D0D0D" w:themeColor="text1" w:themeTint="F2"/>
                <w:szCs w:val="21"/>
                <w14:textFill>
                  <w14:solidFill>
                    <w14:schemeClr w14:val="tx1">
                      <w14:lumMod w14:val="95000"/>
                      <w14:lumOff w14:val="5000"/>
                    </w14:schemeClr>
                  </w14:solidFill>
                </w14:textFill>
              </w:rPr>
            </w:pPr>
            <w:r>
              <w:rPr>
                <w:rFonts w:hint="eastAsia" w:ascii="FangSong_GB2312" w:hAnsi="Times New Roman" w:eastAsia="FangSong_GB2312"/>
                <w:color w:val="0D0D0D" w:themeColor="text1" w:themeTint="F2"/>
                <w:szCs w:val="21"/>
                <w14:textFill>
                  <w14:solidFill>
                    <w14:schemeClr w14:val="tx1">
                      <w14:lumMod w14:val="95000"/>
                      <w14:lumOff w14:val="5000"/>
                    </w14:schemeClr>
                  </w14:solidFill>
                </w14:textFill>
              </w:rPr>
              <w:t>0</w:t>
            </w:r>
          </w:p>
        </w:tc>
        <w:tc>
          <w:tcPr>
            <w:tcW w:w="540"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color w:val="0D0D0D" w:themeColor="text1" w:themeTint="F2"/>
                <w:szCs w:val="21"/>
                <w14:textFill>
                  <w14:solidFill>
                    <w14:schemeClr w14:val="tx1">
                      <w14:lumMod w14:val="95000"/>
                      <w14:lumOff w14:val="5000"/>
                    </w14:schemeClr>
                  </w14:solidFill>
                </w14:textFill>
              </w:rPr>
            </w:pPr>
            <w:r>
              <w:rPr>
                <w:rFonts w:hint="eastAsia" w:ascii="FangSong_GB2312" w:hAnsi="Times New Roman" w:eastAsia="FangSong_GB2312"/>
                <w:color w:val="0D0D0D" w:themeColor="text1" w:themeTint="F2"/>
                <w:szCs w:val="21"/>
                <w14:textFill>
                  <w14:solidFill>
                    <w14:schemeClr w14:val="tx1">
                      <w14:lumMod w14:val="95000"/>
                      <w14:lumOff w14:val="5000"/>
                    </w14:schemeClr>
                  </w14:solidFill>
                </w14:textFill>
              </w:rPr>
              <w:t>0</w:t>
            </w:r>
          </w:p>
        </w:tc>
        <w:tc>
          <w:tcPr>
            <w:tcW w:w="540"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color w:val="0D0D0D" w:themeColor="text1" w:themeTint="F2"/>
                <w:szCs w:val="21"/>
                <w14:textFill>
                  <w14:solidFill>
                    <w14:schemeClr w14:val="tx1">
                      <w14:lumMod w14:val="95000"/>
                      <w14:lumOff w14:val="5000"/>
                    </w14:schemeClr>
                  </w14:solidFill>
                </w14:textFill>
              </w:rPr>
            </w:pPr>
            <w:r>
              <w:rPr>
                <w:rFonts w:hint="eastAsia" w:ascii="FangSong_GB2312" w:hAnsi="Times New Roman" w:eastAsia="FangSong_GB2312"/>
                <w:color w:val="0D0D0D" w:themeColor="text1" w:themeTint="F2"/>
                <w:szCs w:val="21"/>
                <w14:textFill>
                  <w14:solidFill>
                    <w14:schemeClr w14:val="tx1">
                      <w14:lumMod w14:val="95000"/>
                      <w14:lumOff w14:val="5000"/>
                    </w14:schemeClr>
                  </w14:solidFill>
                </w14:textFill>
              </w:rPr>
              <w:t>0</w:t>
            </w:r>
          </w:p>
        </w:tc>
        <w:tc>
          <w:tcPr>
            <w:tcW w:w="720"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color w:val="0D0D0D" w:themeColor="text1" w:themeTint="F2"/>
                <w:szCs w:val="21"/>
                <w14:textFill>
                  <w14:solidFill>
                    <w14:schemeClr w14:val="tx1">
                      <w14:lumMod w14:val="95000"/>
                      <w14:lumOff w14:val="5000"/>
                    </w14:schemeClr>
                  </w14:solidFill>
                </w14:textFill>
              </w:rPr>
            </w:pPr>
            <w:r>
              <w:rPr>
                <w:rFonts w:hint="eastAsia" w:ascii="FangSong_GB2312" w:hAnsi="Times New Roman" w:eastAsia="FangSong_GB2312"/>
                <w:color w:val="0D0D0D" w:themeColor="text1" w:themeTint="F2"/>
                <w:szCs w:val="21"/>
                <w14:textFill>
                  <w14:solidFill>
                    <w14:schemeClr w14:val="tx1">
                      <w14:lumMod w14:val="95000"/>
                      <w14:lumOff w14:val="5000"/>
                    </w14:schemeClr>
                  </w14:solidFill>
                </w14:textFill>
              </w:rPr>
              <w:t>0</w:t>
            </w:r>
          </w:p>
        </w:tc>
        <w:tc>
          <w:tcPr>
            <w:tcW w:w="675"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color w:val="0D0D0D" w:themeColor="text1" w:themeTint="F2"/>
                <w:szCs w:val="21"/>
                <w14:textFill>
                  <w14:solidFill>
                    <w14:schemeClr w14:val="tx1">
                      <w14:lumMod w14:val="95000"/>
                      <w14:lumOff w14:val="5000"/>
                    </w14:schemeClr>
                  </w14:solidFill>
                </w14:textFill>
              </w:rPr>
            </w:pPr>
            <w:r>
              <w:rPr>
                <w:rFonts w:hint="eastAsia" w:ascii="FangSong_GB2312" w:hAnsi="Times New Roman" w:eastAsia="FangSong_GB2312"/>
                <w:color w:val="0D0D0D" w:themeColor="text1" w:themeTint="F2"/>
                <w:szCs w:val="21"/>
                <w14:textFill>
                  <w14:solidFill>
                    <w14:schemeClr w14:val="tx1">
                      <w14:lumMod w14:val="95000"/>
                      <w14:lumOff w14:val="5000"/>
                    </w14:schemeClr>
                  </w14:solidFill>
                </w14:textFill>
              </w:rPr>
              <w:t>0</w:t>
            </w:r>
          </w:p>
        </w:tc>
        <w:tc>
          <w:tcPr>
            <w:tcW w:w="525"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color w:val="0D0D0D" w:themeColor="text1" w:themeTint="F2"/>
                <w:szCs w:val="21"/>
                <w14:textFill>
                  <w14:solidFill>
                    <w14:schemeClr w14:val="tx1">
                      <w14:lumMod w14:val="95000"/>
                      <w14:lumOff w14:val="5000"/>
                    </w14:schemeClr>
                  </w14:solidFill>
                </w14:textFill>
              </w:rPr>
            </w:pPr>
            <w:r>
              <w:rPr>
                <w:rFonts w:hint="eastAsia" w:ascii="FangSong_GB2312" w:hAnsi="Times New Roman" w:eastAsia="FangSong_GB2312"/>
                <w:color w:val="0D0D0D" w:themeColor="text1" w:themeTint="F2"/>
                <w:szCs w:val="21"/>
                <w14:textFill>
                  <w14:solidFill>
                    <w14:schemeClr w14:val="tx1">
                      <w14:lumMod w14:val="95000"/>
                      <w14:lumOff w14:val="5000"/>
                    </w14:schemeClr>
                  </w14:solidFill>
                </w14:textFill>
              </w:rPr>
              <w:t>0</w:t>
            </w:r>
          </w:p>
        </w:tc>
        <w:tc>
          <w:tcPr>
            <w:tcW w:w="701" w:type="dxa"/>
            <w:shd w:val="clear" w:color="auto" w:fill="auto"/>
            <w:tcMar>
              <w:left w:w="108" w:type="dxa"/>
              <w:right w:w="108" w:type="dxa"/>
            </w:tcMar>
            <w:vAlign w:val="center"/>
          </w:tcPr>
          <w:p>
            <w:pPr>
              <w:widowControl/>
              <w:spacing w:line="240" w:lineRule="exact"/>
              <w:jc w:val="center"/>
              <w:rPr>
                <w:rFonts w:ascii="FangSong_GB2312" w:hAnsi="Times New Roman" w:eastAsia="FangSong_GB2312"/>
                <w:color w:val="0D0D0D" w:themeColor="text1" w:themeTint="F2"/>
                <w:szCs w:val="21"/>
                <w14:textFill>
                  <w14:solidFill>
                    <w14:schemeClr w14:val="tx1">
                      <w14:lumMod w14:val="95000"/>
                      <w14:lumOff w14:val="5000"/>
                    </w14:schemeClr>
                  </w14:solidFill>
                </w14:textFill>
              </w:rPr>
            </w:pPr>
            <w:r>
              <w:rPr>
                <w:rFonts w:hint="eastAsia" w:ascii="FangSong_GB2312" w:hAnsi="Times New Roman" w:eastAsia="FangSong_GB2312"/>
                <w:color w:val="0D0D0D" w:themeColor="text1" w:themeTint="F2"/>
                <w:szCs w:val="21"/>
                <w14:textFill>
                  <w14:solidFill>
                    <w14:schemeClr w14:val="tx1">
                      <w14:lumMod w14:val="95000"/>
                      <w14:lumOff w14:val="5000"/>
                    </w14:schemeClr>
                  </w14:solidFill>
                </w14:textFill>
              </w:rPr>
              <w:t>0</w:t>
            </w:r>
          </w:p>
        </w:tc>
      </w:tr>
    </w:tbl>
    <w:p>
      <w:pPr>
        <w:rPr>
          <w:rFonts w:ascii="黑体" w:hAnsi="黑体" w:eastAsia="黑体" w:cs="黑体"/>
          <w:bCs/>
          <w:color w:val="333333"/>
          <w:kern w:val="0"/>
          <w:sz w:val="32"/>
          <w:szCs w:val="32"/>
          <w:shd w:val="clear" w:color="auto" w:fill="FFFFFF"/>
          <w:lang w:bidi="ar"/>
        </w:rPr>
      </w:pPr>
    </w:p>
    <w:p>
      <w:pPr>
        <w:ind w:firstLine="640" w:firstLineChars="200"/>
        <w:rPr>
          <w:rFonts w:hint="eastAsia" w:ascii="FangSong_GB2312" w:eastAsia="FangSong_GB2312"/>
          <w:sz w:val="32"/>
          <w:szCs w:val="32"/>
        </w:rPr>
      </w:pPr>
      <w:r>
        <w:rPr>
          <w:rFonts w:hint="eastAsia" w:ascii="黑体" w:hAnsi="黑体" w:eastAsia="黑体" w:cs="黑体"/>
          <w:bCs/>
          <w:color w:val="333333"/>
          <w:kern w:val="0"/>
          <w:sz w:val="32"/>
          <w:szCs w:val="32"/>
          <w:shd w:val="clear" w:color="auto" w:fill="FFFFFF"/>
          <w:lang w:bidi="ar"/>
        </w:rPr>
        <w:t>四、政府信息公开行政复议、行政诉讼情况</w:t>
      </w:r>
    </w:p>
    <w:tbl>
      <w:tblPr>
        <w:tblStyle w:val="6"/>
        <w:tblW w:w="9071"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7" w:hRule="atLeast"/>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ind w:left="-149" w:leftChars="-71" w:right="-170" w:rightChars="-81"/>
              <w:jc w:val="center"/>
              <w:rPr>
                <w:rFonts w:ascii="黑体" w:hAnsi="黑体" w:eastAsia="黑体"/>
                <w:kern w:val="0"/>
                <w:sz w:val="20"/>
                <w:szCs w:val="20"/>
              </w:rPr>
            </w:pPr>
            <w:r>
              <w:rPr>
                <w:rFonts w:ascii="黑体" w:hAnsi="黑体" w:eastAsia="黑体"/>
                <w:kern w:val="0"/>
                <w:sz w:val="20"/>
                <w:szCs w:val="20"/>
              </w:rPr>
              <w:t>结果</w:t>
            </w:r>
          </w:p>
          <w:p>
            <w:pPr>
              <w:widowControl/>
              <w:ind w:left="-149" w:leftChars="-71" w:right="-170" w:rightChars="-81"/>
              <w:jc w:val="center"/>
              <w:rPr>
                <w:rFonts w:ascii="黑体" w:hAnsi="黑体" w:eastAsia="黑体"/>
              </w:rPr>
            </w:pPr>
            <w:r>
              <w:rPr>
                <w:rFonts w:ascii="黑体" w:hAnsi="黑体" w:eastAsia="黑体"/>
                <w:kern w:val="0"/>
                <w:sz w:val="20"/>
                <w:szCs w:val="20"/>
              </w:rPr>
              <w:t>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43" w:leftChars="-21" w:right="-132" w:rightChars="-63" w:hanging="1"/>
              <w:jc w:val="center"/>
              <w:rPr>
                <w:rFonts w:ascii="黑体" w:hAnsi="黑体" w:eastAsia="黑体"/>
              </w:rPr>
            </w:pPr>
            <w:r>
              <w:rPr>
                <w:rFonts w:ascii="黑体" w:hAnsi="黑体" w:eastAsia="黑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82" w:leftChars="-39" w:right="-97" w:rightChars="-46"/>
              <w:jc w:val="center"/>
              <w:rPr>
                <w:rFonts w:ascii="黑体" w:hAnsi="黑体" w:eastAsia="黑体"/>
              </w:rPr>
            </w:pPr>
            <w:r>
              <w:rPr>
                <w:rFonts w:ascii="黑体" w:hAnsi="黑体" w:eastAsia="黑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18" w:leftChars="-56" w:right="-118" w:rightChars="-56"/>
              <w:jc w:val="center"/>
              <w:rPr>
                <w:rFonts w:ascii="黑体" w:hAnsi="黑体" w:eastAsia="黑体"/>
                <w:kern w:val="0"/>
                <w:sz w:val="20"/>
                <w:szCs w:val="20"/>
              </w:rPr>
            </w:pPr>
            <w:r>
              <w:rPr>
                <w:rFonts w:ascii="黑体" w:hAnsi="黑体" w:eastAsia="黑体"/>
                <w:kern w:val="0"/>
                <w:sz w:val="20"/>
                <w:szCs w:val="20"/>
              </w:rPr>
              <w:t>尚未</w:t>
            </w:r>
          </w:p>
          <w:p>
            <w:pPr>
              <w:widowControl/>
              <w:ind w:left="-118" w:leftChars="-56" w:right="-118" w:rightChars="-56"/>
              <w:jc w:val="center"/>
              <w:rPr>
                <w:rFonts w:ascii="黑体" w:hAnsi="黑体" w:eastAsia="黑体"/>
              </w:rPr>
            </w:pPr>
            <w:r>
              <w:rPr>
                <w:rFonts w:ascii="黑体" w:hAnsi="黑体" w:eastAsia="黑体"/>
                <w:kern w:val="0"/>
                <w:sz w:val="20"/>
                <w:szCs w:val="20"/>
              </w:rPr>
              <w:t>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ascii="黑体" w:hAnsi="黑体" w:eastAsia="黑体"/>
                <w:kern w:val="0"/>
                <w:sz w:val="20"/>
                <w:szCs w:val="20"/>
              </w:rPr>
            </w:pPr>
            <w:r>
              <w:rPr>
                <w:rFonts w:ascii="黑体" w:hAnsi="黑体" w:eastAsia="黑体"/>
                <w:kern w:val="0"/>
                <w:sz w:val="20"/>
                <w:szCs w:val="20"/>
              </w:rPr>
              <w:t>总</w:t>
            </w:r>
          </w:p>
          <w:p>
            <w:pPr>
              <w:widowControl/>
              <w:spacing w:line="320" w:lineRule="exact"/>
              <w:jc w:val="center"/>
              <w:rPr>
                <w:rFonts w:ascii="黑体" w:hAnsi="黑体" w:eastAsia="黑体"/>
              </w:rPr>
            </w:pPr>
            <w:r>
              <w:rPr>
                <w:rFonts w:ascii="黑体" w:hAnsi="黑体" w:eastAsia="黑体"/>
                <w:kern w:val="0"/>
                <w:sz w:val="20"/>
                <w:szCs w:val="20"/>
              </w:rPr>
              <w:t>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bookmarkStart w:id="9" w:name="_Hlk67039688"/>
            <w:r>
              <w:rPr>
                <w:rFonts w:ascii="黑体" w:hAnsi="黑体" w:eastAsia="黑体"/>
                <w:kern w:val="0"/>
                <w:sz w:val="20"/>
                <w:szCs w:val="20"/>
              </w:rPr>
              <w:t>复议后起诉</w:t>
            </w:r>
            <w:bookmarkEnd w:id="9"/>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6" w:hRule="atLeast"/>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105" w:leftChars="-50" w:right="-126" w:rightChars="-60"/>
              <w:jc w:val="center"/>
              <w:rPr>
                <w:rFonts w:ascii="黑体" w:hAnsi="黑体" w:eastAsia="黑体"/>
              </w:rPr>
            </w:pPr>
            <w:r>
              <w:rPr>
                <w:rFonts w:ascii="黑体" w:hAnsi="黑体" w:eastAsia="黑体"/>
                <w:kern w:val="0"/>
                <w:sz w:val="20"/>
                <w:szCs w:val="20"/>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86" w:leftChars="-41" w:right="-88" w:rightChars="-42"/>
              <w:jc w:val="center"/>
              <w:rPr>
                <w:rFonts w:ascii="黑体" w:hAnsi="黑体" w:eastAsia="黑体"/>
              </w:rPr>
            </w:pPr>
            <w:r>
              <w:rPr>
                <w:rFonts w:ascii="黑体" w:hAnsi="黑体" w:eastAsia="黑体"/>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26" w:leftChars="-60" w:right="-136" w:rightChars="-65"/>
              <w:jc w:val="center"/>
              <w:rPr>
                <w:rFonts w:ascii="黑体" w:hAnsi="黑体" w:eastAsia="黑体"/>
                <w:kern w:val="0"/>
                <w:sz w:val="20"/>
                <w:szCs w:val="20"/>
              </w:rPr>
            </w:pPr>
            <w:r>
              <w:rPr>
                <w:rFonts w:ascii="黑体" w:hAnsi="黑体" w:eastAsia="黑体"/>
                <w:kern w:val="0"/>
                <w:sz w:val="20"/>
                <w:szCs w:val="20"/>
              </w:rPr>
              <w:t>其他</w:t>
            </w:r>
          </w:p>
          <w:p>
            <w:pPr>
              <w:widowControl/>
              <w:ind w:left="-126" w:leftChars="-60" w:right="-136" w:rightChars="-65"/>
              <w:jc w:val="center"/>
              <w:rPr>
                <w:rFonts w:ascii="黑体" w:hAnsi="黑体" w:eastAsia="黑体"/>
              </w:rPr>
            </w:pPr>
            <w:r>
              <w:rPr>
                <w:rFonts w:ascii="黑体" w:hAnsi="黑体" w:eastAsia="黑体"/>
                <w:kern w:val="0"/>
                <w:sz w:val="20"/>
                <w:szCs w:val="20"/>
              </w:rPr>
              <w:t>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64" w:leftChars="-78" w:right="-153" w:rightChars="-73"/>
              <w:jc w:val="center"/>
              <w:rPr>
                <w:rFonts w:ascii="黑体" w:hAnsi="黑体" w:eastAsia="黑体"/>
                <w:kern w:val="0"/>
                <w:sz w:val="20"/>
                <w:szCs w:val="20"/>
              </w:rPr>
            </w:pPr>
            <w:r>
              <w:rPr>
                <w:rFonts w:ascii="黑体" w:hAnsi="黑体" w:eastAsia="黑体"/>
                <w:kern w:val="0"/>
                <w:sz w:val="20"/>
                <w:szCs w:val="20"/>
              </w:rPr>
              <w:t>尚未</w:t>
            </w:r>
          </w:p>
          <w:p>
            <w:pPr>
              <w:widowControl/>
              <w:ind w:left="-164" w:leftChars="-78" w:right="-153" w:rightChars="-73"/>
              <w:jc w:val="center"/>
              <w:rPr>
                <w:rFonts w:ascii="黑体" w:hAnsi="黑体" w:eastAsia="黑体"/>
              </w:rPr>
            </w:pPr>
            <w:r>
              <w:rPr>
                <w:rFonts w:ascii="黑体" w:hAnsi="黑体" w:eastAsia="黑体"/>
                <w:kern w:val="0"/>
                <w:sz w:val="20"/>
                <w:szCs w:val="20"/>
              </w:rPr>
              <w:t>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99" w:leftChars="-47" w:right="-78" w:rightChars="-37"/>
              <w:jc w:val="center"/>
              <w:rPr>
                <w:rFonts w:ascii="黑体" w:hAnsi="黑体" w:eastAsia="黑体"/>
              </w:rPr>
            </w:pPr>
            <w:r>
              <w:rPr>
                <w:rFonts w:ascii="黑体" w:hAnsi="黑体" w:eastAsia="黑体"/>
                <w:kern w:val="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36" w:leftChars="-65" w:right="-124" w:rightChars="-59"/>
              <w:jc w:val="center"/>
              <w:rPr>
                <w:rFonts w:ascii="黑体" w:hAnsi="黑体" w:eastAsia="黑体"/>
                <w:kern w:val="0"/>
                <w:sz w:val="20"/>
                <w:szCs w:val="20"/>
              </w:rPr>
            </w:pPr>
            <w:r>
              <w:rPr>
                <w:rFonts w:ascii="黑体" w:hAnsi="黑体" w:eastAsia="黑体"/>
                <w:kern w:val="0"/>
                <w:sz w:val="20"/>
                <w:szCs w:val="20"/>
              </w:rPr>
              <w:t>结果</w:t>
            </w:r>
          </w:p>
          <w:p>
            <w:pPr>
              <w:widowControl/>
              <w:ind w:left="-136" w:leftChars="-65" w:right="-124" w:rightChars="-59"/>
              <w:jc w:val="center"/>
              <w:rPr>
                <w:rFonts w:ascii="黑体" w:hAnsi="黑体" w:eastAsia="黑体"/>
              </w:rPr>
            </w:pPr>
            <w:r>
              <w:rPr>
                <w:rFonts w:ascii="黑体" w:hAnsi="黑体" w:eastAsia="黑体"/>
                <w:kern w:val="0"/>
                <w:sz w:val="20"/>
                <w:szCs w:val="20"/>
              </w:rPr>
              <w:t>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73" w:leftChars="-83" w:right="-134" w:rightChars="-64" w:hanging="1"/>
              <w:jc w:val="center"/>
              <w:rPr>
                <w:rFonts w:ascii="黑体" w:hAnsi="黑体" w:eastAsia="黑体"/>
                <w:kern w:val="0"/>
                <w:sz w:val="20"/>
                <w:szCs w:val="20"/>
              </w:rPr>
            </w:pPr>
            <w:r>
              <w:rPr>
                <w:rFonts w:ascii="黑体" w:hAnsi="黑体" w:eastAsia="黑体"/>
                <w:kern w:val="0"/>
                <w:sz w:val="20"/>
                <w:szCs w:val="20"/>
              </w:rPr>
              <w:t>其他</w:t>
            </w:r>
          </w:p>
          <w:p>
            <w:pPr>
              <w:widowControl/>
              <w:ind w:left="-173" w:leftChars="-83" w:right="-134" w:rightChars="-64" w:hanging="1"/>
              <w:jc w:val="center"/>
              <w:rPr>
                <w:rFonts w:ascii="黑体" w:hAnsi="黑体" w:eastAsia="黑体"/>
              </w:rPr>
            </w:pPr>
            <w:r>
              <w:rPr>
                <w:rFonts w:ascii="黑体" w:hAnsi="黑体" w:eastAsia="黑体"/>
                <w:kern w:val="0"/>
                <w:sz w:val="20"/>
                <w:szCs w:val="20"/>
              </w:rPr>
              <w:t>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67" w:leftChars="-33" w:right="-105" w:rightChars="-50" w:hanging="2" w:hangingChars="1"/>
              <w:jc w:val="center"/>
              <w:rPr>
                <w:rFonts w:ascii="黑体" w:hAnsi="黑体" w:eastAsia="黑体"/>
              </w:rPr>
            </w:pPr>
            <w:r>
              <w:rPr>
                <w:rFonts w:ascii="黑体" w:hAnsi="黑体" w:eastAsia="黑体"/>
                <w:kern w:val="0"/>
                <w:sz w:val="20"/>
                <w:szCs w:val="20"/>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2</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color w:val="000000" w:themeColor="text1"/>
                <w14:textFill>
                  <w14:solidFill>
                    <w14:schemeClr w14:val="tx1"/>
                  </w14:solidFill>
                </w14:textFill>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2</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r>
    </w:tbl>
    <w:p>
      <w:pPr>
        <w:pStyle w:val="5"/>
        <w:widowControl/>
        <w:shd w:val="clear" w:color="auto" w:fill="FFFFFF"/>
        <w:spacing w:beforeAutospacing="0" w:afterAutospacing="0"/>
        <w:jc w:val="both"/>
        <w:rPr>
          <w:rFonts w:ascii="黑体" w:hAnsi="黑体" w:eastAsia="黑体" w:cs="黑体"/>
          <w:bCs/>
          <w:color w:val="333333"/>
          <w:sz w:val="32"/>
          <w:szCs w:val="32"/>
          <w:shd w:val="clear" w:color="auto" w:fill="FFFFFF"/>
          <w:lang w:bidi="ar"/>
        </w:rPr>
      </w:pPr>
    </w:p>
    <w:p>
      <w:pPr>
        <w:pStyle w:val="5"/>
        <w:widowControl/>
        <w:shd w:val="clear" w:color="auto" w:fill="FFFFFF"/>
        <w:spacing w:beforeAutospacing="0" w:afterAutospacing="0"/>
        <w:ind w:firstLine="640" w:firstLineChars="200"/>
        <w:jc w:val="both"/>
        <w:rPr>
          <w:rFonts w:ascii="黑体" w:hAnsi="黑体" w:eastAsia="黑体" w:cs="黑体"/>
          <w:bCs/>
          <w:color w:val="333333"/>
          <w:sz w:val="32"/>
          <w:szCs w:val="32"/>
          <w:shd w:val="clear" w:color="auto" w:fill="FFFFFF"/>
          <w:lang w:bidi="ar"/>
        </w:rPr>
      </w:pPr>
      <w:r>
        <w:rPr>
          <w:rFonts w:hint="eastAsia" w:ascii="黑体" w:hAnsi="黑体" w:eastAsia="黑体" w:cs="黑体"/>
          <w:bCs/>
          <w:color w:val="333333"/>
          <w:sz w:val="32"/>
          <w:szCs w:val="32"/>
          <w:shd w:val="clear" w:color="auto" w:fill="FFFFFF"/>
          <w:lang w:bidi="ar"/>
        </w:rPr>
        <w:t>五、存在的主要问题及改进情况</w:t>
      </w:r>
    </w:p>
    <w:p>
      <w:pPr>
        <w:pStyle w:val="5"/>
        <w:widowControl/>
        <w:shd w:val="clear" w:color="auto" w:fill="FFFFFF"/>
        <w:spacing w:beforeAutospacing="0" w:afterAutospacing="0"/>
        <w:ind w:firstLine="640"/>
        <w:jc w:val="both"/>
        <w:rPr>
          <w:rFonts w:ascii="FangSong_GB2312" w:hAnsi="FangSong_GB2312" w:eastAsia="FangSong_GB2312" w:cs="FangSong_GB2312"/>
          <w:bCs/>
          <w:color w:val="333333"/>
          <w:sz w:val="30"/>
          <w:szCs w:val="30"/>
          <w:shd w:val="clear" w:color="auto" w:fill="FFFFFF"/>
          <w:lang w:bidi="ar"/>
        </w:rPr>
      </w:pPr>
      <w:r>
        <w:rPr>
          <w:rFonts w:hint="eastAsia" w:ascii="FangSong_GB2312" w:hAnsi="FangSong_GB2312" w:eastAsia="FangSong_GB2312" w:cs="FangSong_GB2312"/>
          <w:bCs/>
          <w:color w:val="333333"/>
          <w:sz w:val="30"/>
          <w:szCs w:val="30"/>
          <w:shd w:val="clear" w:color="auto" w:fill="FFFFFF"/>
          <w:lang w:bidi="ar"/>
        </w:rPr>
        <w:t>一年来，聊城市住建局在政务公开工作方面取得一定成效，但还存在一些问题和不足。</w:t>
      </w:r>
    </w:p>
    <w:p>
      <w:pPr>
        <w:pStyle w:val="5"/>
        <w:widowControl/>
        <w:shd w:val="clear" w:color="auto" w:fill="FFFFFF"/>
        <w:spacing w:beforeAutospacing="0" w:afterAutospacing="0"/>
        <w:ind w:firstLine="640"/>
        <w:jc w:val="both"/>
        <w:rPr>
          <w:rFonts w:ascii="FangSong_GB2312" w:hAnsi="FangSong_GB2312" w:eastAsia="FangSong_GB2312" w:cs="FangSong_GB2312"/>
          <w:bCs/>
          <w:color w:val="333333"/>
          <w:sz w:val="30"/>
          <w:szCs w:val="30"/>
          <w:shd w:val="clear" w:color="auto" w:fill="FFFFFF"/>
          <w:lang w:bidi="ar"/>
        </w:rPr>
      </w:pPr>
      <w:r>
        <w:rPr>
          <w:rFonts w:hint="eastAsia" w:ascii="FangSong_GB2312" w:hAnsi="FangSong_GB2312" w:eastAsia="FangSong_GB2312" w:cs="FangSong_GB2312"/>
          <w:bCs/>
          <w:color w:val="333333"/>
          <w:sz w:val="30"/>
          <w:szCs w:val="30"/>
          <w:shd w:val="clear" w:color="auto" w:fill="FFFFFF"/>
          <w:lang w:bidi="ar"/>
        </w:rPr>
        <w:t>一是政务公开的宣传不够到位。下一步，持续利用政府开放月活动、新闻发布会等形式更好的把相关政策传递给老百姓。</w:t>
      </w:r>
    </w:p>
    <w:p>
      <w:pPr>
        <w:pStyle w:val="5"/>
        <w:widowControl/>
        <w:shd w:val="clear" w:color="auto" w:fill="FFFFFF"/>
        <w:spacing w:beforeAutospacing="0" w:afterAutospacing="0"/>
        <w:ind w:firstLine="640"/>
        <w:jc w:val="both"/>
        <w:rPr>
          <w:rFonts w:ascii="FangSong_GB2312" w:hAnsi="FangSong_GB2312" w:eastAsia="FangSong_GB2312" w:cs="FangSong_GB2312"/>
          <w:bCs/>
          <w:color w:val="333333"/>
          <w:sz w:val="30"/>
          <w:szCs w:val="30"/>
          <w:shd w:val="clear" w:color="auto" w:fill="FFFFFF"/>
          <w:lang w:bidi="ar"/>
        </w:rPr>
      </w:pPr>
      <w:r>
        <w:rPr>
          <w:rFonts w:hint="eastAsia" w:ascii="FangSong_GB2312" w:hAnsi="FangSong_GB2312" w:eastAsia="FangSong_GB2312" w:cs="FangSong_GB2312"/>
          <w:bCs/>
          <w:color w:val="333333"/>
          <w:sz w:val="30"/>
          <w:szCs w:val="30"/>
          <w:shd w:val="clear" w:color="auto" w:fill="FFFFFF"/>
          <w:lang w:bidi="ar"/>
        </w:rPr>
        <w:t>二是政策解读形式不够丰富，解读形式有点单一。下一步，完善工作机制，组织各科室认真学习文件解读要求，按照“谁起草谁解读”原则，提高文件解读形式多样化。</w:t>
      </w:r>
    </w:p>
    <w:p>
      <w:pPr>
        <w:pStyle w:val="5"/>
        <w:widowControl/>
        <w:shd w:val="clear" w:color="auto" w:fill="FFFFFF"/>
        <w:spacing w:beforeAutospacing="0" w:afterAutospacing="0"/>
        <w:ind w:firstLine="640"/>
        <w:jc w:val="both"/>
        <w:rPr>
          <w:rFonts w:ascii="FangSong_GB2312" w:hAnsi="FangSong_GB2312" w:eastAsia="FangSong_GB2312" w:cs="FangSong_GB2312"/>
          <w:b/>
          <w:color w:val="333333"/>
          <w:sz w:val="30"/>
          <w:szCs w:val="30"/>
          <w:shd w:val="clear" w:color="auto" w:fill="FFFFFF"/>
          <w:lang w:bidi="ar"/>
        </w:rPr>
      </w:pPr>
      <w:r>
        <w:rPr>
          <w:rFonts w:hint="eastAsia" w:ascii="FangSong_GB2312" w:hAnsi="FangSong_GB2312" w:eastAsia="FangSong_GB2312" w:cs="FangSong_GB2312"/>
          <w:bCs/>
          <w:color w:val="333333"/>
          <w:sz w:val="30"/>
          <w:szCs w:val="30"/>
          <w:shd w:val="clear" w:color="auto" w:fill="FFFFFF"/>
          <w:lang w:bidi="ar"/>
        </w:rPr>
        <w:t>三是信息发布格式不标准。下一步，严格按照政务公开办发布格式要求，严格领导审批制，提高信息发布的标准化，避免出现错别字等情况。</w:t>
      </w:r>
    </w:p>
    <w:p>
      <w:pPr>
        <w:pStyle w:val="5"/>
        <w:widowControl/>
        <w:numPr>
          <w:ilvl w:val="0"/>
          <w:numId w:val="2"/>
        </w:numPr>
        <w:shd w:val="clear" w:color="auto" w:fill="FFFFFF"/>
        <w:spacing w:beforeAutospacing="0" w:afterAutospacing="0"/>
        <w:ind w:firstLine="640" w:firstLineChars="200"/>
        <w:jc w:val="both"/>
        <w:rPr>
          <w:rFonts w:ascii="黑体" w:hAnsi="黑体" w:eastAsia="黑体" w:cs="黑体"/>
          <w:bCs/>
          <w:color w:val="333333"/>
          <w:sz w:val="32"/>
          <w:szCs w:val="32"/>
          <w:shd w:val="clear" w:color="auto" w:fill="FFFFFF"/>
          <w:lang w:bidi="ar"/>
        </w:rPr>
      </w:pPr>
      <w:r>
        <w:rPr>
          <w:rFonts w:hint="eastAsia" w:ascii="黑体" w:hAnsi="黑体" w:eastAsia="黑体" w:cs="黑体"/>
          <w:bCs/>
          <w:color w:val="333333"/>
          <w:sz w:val="32"/>
          <w:szCs w:val="32"/>
          <w:shd w:val="clear" w:color="auto" w:fill="FFFFFF"/>
          <w:lang w:bidi="ar"/>
        </w:rPr>
        <w:t>其他需要报告的事项</w:t>
      </w:r>
    </w:p>
    <w:p>
      <w:pPr>
        <w:pStyle w:val="5"/>
        <w:widowControl/>
        <w:shd w:val="clear" w:color="auto" w:fill="FFFFFF"/>
        <w:spacing w:beforeAutospacing="0" w:afterAutospacing="0"/>
        <w:ind w:left="420" w:leftChars="200"/>
        <w:jc w:val="both"/>
        <w:rPr>
          <w:rFonts w:ascii="KaiTi_GB2312" w:hAnsi="KaiTi_GB2312" w:eastAsia="KaiTi_GB2312" w:cs="KaiTi_GB2312"/>
          <w:bCs/>
          <w:color w:val="333333"/>
          <w:sz w:val="30"/>
          <w:szCs w:val="30"/>
          <w:shd w:val="clear" w:color="auto" w:fill="FFFFFF"/>
          <w:lang w:bidi="ar"/>
        </w:rPr>
      </w:pPr>
      <w:r>
        <w:rPr>
          <w:rFonts w:hint="eastAsia" w:ascii="KaiTi_GB2312" w:hAnsi="KaiTi_GB2312" w:eastAsia="KaiTi_GB2312" w:cs="KaiTi_GB2312"/>
          <w:bCs/>
          <w:color w:val="333333"/>
          <w:sz w:val="30"/>
          <w:szCs w:val="30"/>
          <w:shd w:val="clear" w:color="auto" w:fill="FFFFFF"/>
          <w:lang w:bidi="ar"/>
        </w:rPr>
        <w:t>（一）人大代表建议和政协提案办理结果公开情况</w:t>
      </w:r>
    </w:p>
    <w:p>
      <w:pPr>
        <w:pStyle w:val="5"/>
        <w:widowControl/>
        <w:shd w:val="clear" w:color="auto" w:fill="FFFFFF"/>
        <w:spacing w:beforeAutospacing="0" w:afterAutospacing="0"/>
        <w:ind w:firstLine="600" w:firstLineChars="200"/>
        <w:jc w:val="both"/>
        <w:rPr>
          <w:rFonts w:ascii="FangSong_GB2312" w:hAnsi="FangSong_GB2312" w:eastAsia="FangSong_GB2312" w:cs="FangSong_GB2312"/>
          <w:bCs/>
          <w:color w:val="333333"/>
          <w:sz w:val="30"/>
          <w:szCs w:val="30"/>
          <w:shd w:val="clear" w:color="auto" w:fill="FFFFFF"/>
          <w:lang w:bidi="ar"/>
        </w:rPr>
      </w:pPr>
      <w:r>
        <w:rPr>
          <w:rFonts w:hint="eastAsia" w:ascii="FangSong_GB2312" w:hAnsi="FangSong_GB2312" w:eastAsia="FangSong_GB2312" w:cs="FangSong_GB2312"/>
          <w:bCs/>
          <w:color w:val="333333"/>
          <w:sz w:val="30"/>
          <w:szCs w:val="30"/>
          <w:shd w:val="clear" w:color="auto" w:fill="FFFFFF"/>
          <w:lang w:bidi="ar"/>
        </w:rPr>
        <w:t>2023年市住建局共承办人大建议</w:t>
      </w:r>
      <w:r>
        <w:rPr>
          <w:rFonts w:hint="eastAsia" w:ascii="FangSong_GB2312" w:hAnsi="FangSong_GB2312" w:eastAsia="FangSong_GB2312" w:cs="FangSong_GB2312"/>
          <w:bCs/>
          <w:sz w:val="30"/>
          <w:szCs w:val="30"/>
          <w:shd w:val="clear" w:color="auto" w:fill="FFFFFF"/>
          <w:lang w:bidi="ar"/>
        </w:rPr>
        <w:t>19</w:t>
      </w:r>
      <w:r>
        <w:rPr>
          <w:rFonts w:hint="eastAsia" w:ascii="FangSong_GB2312" w:hAnsi="FangSong_GB2312" w:eastAsia="FangSong_GB2312" w:cs="FangSong_GB2312"/>
          <w:bCs/>
          <w:color w:val="333333"/>
          <w:sz w:val="30"/>
          <w:szCs w:val="30"/>
          <w:shd w:val="clear" w:color="auto" w:fill="FFFFFF"/>
          <w:lang w:bidi="ar"/>
        </w:rPr>
        <w:t>件，其中主办</w:t>
      </w:r>
      <w:r>
        <w:rPr>
          <w:rFonts w:hint="eastAsia" w:ascii="FangSong_GB2312" w:hAnsi="FangSong_GB2312" w:eastAsia="FangSong_GB2312" w:cs="FangSong_GB2312"/>
          <w:bCs/>
          <w:sz w:val="30"/>
          <w:szCs w:val="30"/>
          <w:shd w:val="clear" w:color="auto" w:fill="FFFFFF"/>
          <w:lang w:bidi="ar"/>
        </w:rPr>
        <w:t>9</w:t>
      </w:r>
      <w:r>
        <w:rPr>
          <w:rFonts w:hint="eastAsia" w:ascii="FangSong_GB2312" w:hAnsi="FangSong_GB2312" w:eastAsia="FangSong_GB2312" w:cs="FangSong_GB2312"/>
          <w:bCs/>
          <w:color w:val="333333"/>
          <w:sz w:val="30"/>
          <w:szCs w:val="30"/>
          <w:shd w:val="clear" w:color="auto" w:fill="FFFFFF"/>
          <w:lang w:bidi="ar"/>
        </w:rPr>
        <w:t>件、分办或协办</w:t>
      </w:r>
      <w:r>
        <w:rPr>
          <w:rFonts w:hint="eastAsia" w:ascii="FangSong_GB2312" w:hAnsi="FangSong_GB2312" w:eastAsia="FangSong_GB2312" w:cs="FangSong_GB2312"/>
          <w:bCs/>
          <w:sz w:val="30"/>
          <w:szCs w:val="30"/>
          <w:shd w:val="clear" w:color="auto" w:fill="FFFFFF"/>
          <w:lang w:bidi="ar"/>
        </w:rPr>
        <w:t>10</w:t>
      </w:r>
      <w:r>
        <w:rPr>
          <w:rFonts w:hint="eastAsia" w:ascii="FangSong_GB2312" w:hAnsi="FangSong_GB2312" w:eastAsia="FangSong_GB2312" w:cs="FangSong_GB2312"/>
          <w:bCs/>
          <w:color w:val="333333"/>
          <w:sz w:val="30"/>
          <w:szCs w:val="30"/>
          <w:shd w:val="clear" w:color="auto" w:fill="FFFFFF"/>
          <w:lang w:bidi="ar"/>
        </w:rPr>
        <w:t>件，解决</w:t>
      </w:r>
      <w:r>
        <w:rPr>
          <w:rFonts w:hint="eastAsia" w:ascii="FangSong_GB2312" w:hAnsi="FangSong_GB2312" w:eastAsia="FangSong_GB2312" w:cs="FangSong_GB2312"/>
          <w:bCs/>
          <w:sz w:val="30"/>
          <w:szCs w:val="30"/>
          <w:shd w:val="clear" w:color="auto" w:fill="FFFFFF"/>
          <w:lang w:bidi="ar"/>
        </w:rPr>
        <w:t>4</w:t>
      </w:r>
      <w:r>
        <w:rPr>
          <w:rFonts w:hint="eastAsia" w:ascii="FangSong_GB2312" w:hAnsi="FangSong_GB2312" w:eastAsia="FangSong_GB2312" w:cs="FangSong_GB2312"/>
          <w:bCs/>
          <w:color w:val="333333"/>
          <w:sz w:val="30"/>
          <w:szCs w:val="30"/>
          <w:shd w:val="clear" w:color="auto" w:fill="FFFFFF"/>
          <w:lang w:bidi="ar"/>
        </w:rPr>
        <w:t>件，正在解决</w:t>
      </w:r>
      <w:r>
        <w:rPr>
          <w:rFonts w:hint="eastAsia" w:ascii="FangSong_GB2312" w:hAnsi="FangSong_GB2312" w:eastAsia="FangSong_GB2312" w:cs="FangSong_GB2312"/>
          <w:bCs/>
          <w:sz w:val="30"/>
          <w:szCs w:val="30"/>
          <w:shd w:val="clear" w:color="auto" w:fill="FFFFFF"/>
          <w:lang w:bidi="ar"/>
        </w:rPr>
        <w:t>12</w:t>
      </w:r>
      <w:r>
        <w:rPr>
          <w:rFonts w:hint="eastAsia" w:ascii="FangSong_GB2312" w:hAnsi="FangSong_GB2312" w:eastAsia="FangSong_GB2312" w:cs="FangSong_GB2312"/>
          <w:bCs/>
          <w:color w:val="333333"/>
          <w:sz w:val="30"/>
          <w:szCs w:val="30"/>
          <w:shd w:val="clear" w:color="auto" w:fill="FFFFFF"/>
          <w:lang w:bidi="ar"/>
        </w:rPr>
        <w:t>件，暂时难以解决的3件，主要涉及市政建设、物业管理、建筑业发展、古城区活化、房地产开发、二手房监管等方面。目前，所有建议均已按时办理完成，代表均对答复意见和办理结果均表示满意，实现按时办结率、答复率、代表满意率“三个百分百”。</w:t>
      </w:r>
    </w:p>
    <w:p>
      <w:pPr>
        <w:pStyle w:val="5"/>
        <w:widowControl/>
        <w:shd w:val="clear" w:color="auto" w:fill="FFFFFF"/>
        <w:spacing w:beforeAutospacing="0" w:afterAutospacing="0"/>
        <w:ind w:firstLine="600" w:firstLineChars="200"/>
        <w:jc w:val="both"/>
        <w:rPr>
          <w:rFonts w:hint="eastAsia" w:ascii="FangSong_GB2312" w:hAnsi="FangSong_GB2312" w:eastAsia="FangSong_GB2312" w:cs="FangSong_GB2312"/>
          <w:bCs/>
          <w:color w:val="333333"/>
          <w:sz w:val="30"/>
          <w:szCs w:val="30"/>
          <w:shd w:val="clear" w:color="auto" w:fill="FFFFFF"/>
          <w:lang w:bidi="ar"/>
        </w:rPr>
      </w:pPr>
      <w:r>
        <w:rPr>
          <w:rFonts w:hint="eastAsia" w:ascii="FangSong_GB2312" w:hAnsi="FangSong_GB2312" w:eastAsia="FangSong_GB2312" w:cs="FangSong_GB2312"/>
          <w:bCs/>
          <w:color w:val="333333"/>
          <w:sz w:val="30"/>
          <w:szCs w:val="30"/>
          <w:shd w:val="clear" w:color="auto" w:fill="FFFFFF"/>
          <w:lang w:bidi="ar"/>
        </w:rPr>
        <w:t>202</w:t>
      </w:r>
      <w:r>
        <w:rPr>
          <w:rFonts w:hint="eastAsia" w:ascii="FangSong_GB2312" w:hAnsi="FangSong_GB2312" w:eastAsia="FangSong_GB2312" w:cs="FangSong_GB2312"/>
          <w:bCs/>
          <w:color w:val="333333"/>
          <w:sz w:val="30"/>
          <w:szCs w:val="30"/>
          <w:shd w:val="clear" w:color="auto" w:fill="FFFFFF"/>
          <w:lang w:val="en-US" w:eastAsia="zh-CN" w:bidi="ar"/>
        </w:rPr>
        <w:t>3</w:t>
      </w:r>
      <w:r>
        <w:rPr>
          <w:rFonts w:hint="eastAsia" w:ascii="FangSong_GB2312" w:hAnsi="FangSong_GB2312" w:eastAsia="FangSong_GB2312" w:cs="FangSong_GB2312"/>
          <w:bCs/>
          <w:color w:val="333333"/>
          <w:sz w:val="30"/>
          <w:szCs w:val="30"/>
          <w:shd w:val="clear" w:color="auto" w:fill="FFFFFF"/>
          <w:lang w:bidi="ar"/>
        </w:rPr>
        <w:t>年，</w:t>
      </w:r>
      <w:r>
        <w:rPr>
          <w:rFonts w:hint="eastAsia" w:ascii="FangSong_GB2312" w:hAnsi="FangSong_GB2312" w:eastAsia="FangSong_GB2312" w:cs="FangSong_GB2312"/>
          <w:bCs/>
          <w:color w:val="333333"/>
          <w:sz w:val="30"/>
          <w:szCs w:val="30"/>
          <w:shd w:val="clear" w:color="auto" w:fill="FFFFFF"/>
          <w:lang w:eastAsia="zh-CN" w:bidi="ar"/>
        </w:rPr>
        <w:t>市住建局</w:t>
      </w:r>
      <w:r>
        <w:rPr>
          <w:rFonts w:hint="eastAsia" w:ascii="FangSong_GB2312" w:hAnsi="FangSong_GB2312" w:eastAsia="FangSong_GB2312" w:cs="FangSong_GB2312"/>
          <w:bCs/>
          <w:color w:val="333333"/>
          <w:sz w:val="30"/>
          <w:szCs w:val="30"/>
          <w:shd w:val="clear" w:color="auto" w:fill="FFFFFF"/>
          <w:lang w:bidi="ar"/>
        </w:rPr>
        <w:t>共接收</w:t>
      </w:r>
      <w:r>
        <w:rPr>
          <w:rFonts w:hint="eastAsia" w:ascii="FangSong_GB2312" w:hAnsi="FangSong_GB2312" w:eastAsia="FangSong_GB2312" w:cs="FangSong_GB2312"/>
          <w:bCs/>
          <w:color w:val="333333"/>
          <w:sz w:val="30"/>
          <w:szCs w:val="30"/>
          <w:shd w:val="clear" w:color="auto" w:fill="FFFFFF"/>
          <w:lang w:eastAsia="zh-CN" w:bidi="ar"/>
        </w:rPr>
        <w:t>政协</w:t>
      </w:r>
      <w:r>
        <w:rPr>
          <w:rFonts w:hint="eastAsia" w:ascii="FangSong_GB2312" w:hAnsi="FangSong_GB2312" w:eastAsia="FangSong_GB2312" w:cs="FangSong_GB2312"/>
          <w:bCs/>
          <w:color w:val="333333"/>
          <w:sz w:val="30"/>
          <w:szCs w:val="30"/>
          <w:shd w:val="clear" w:color="auto" w:fill="FFFFFF"/>
          <w:lang w:bidi="ar"/>
        </w:rPr>
        <w:t>提案</w:t>
      </w:r>
      <w:r>
        <w:rPr>
          <w:rFonts w:hint="eastAsia" w:ascii="FangSong_GB2312" w:hAnsi="FangSong_GB2312" w:eastAsia="FangSong_GB2312" w:cs="FangSong_GB2312"/>
          <w:bCs/>
          <w:color w:val="333333"/>
          <w:sz w:val="30"/>
          <w:szCs w:val="30"/>
          <w:shd w:val="clear" w:color="auto" w:fill="FFFFFF"/>
          <w:lang w:val="en-US" w:eastAsia="zh-CN" w:bidi="ar"/>
        </w:rPr>
        <w:t>23</w:t>
      </w:r>
      <w:r>
        <w:rPr>
          <w:rFonts w:hint="eastAsia" w:ascii="FangSong_GB2312" w:hAnsi="FangSong_GB2312" w:eastAsia="FangSong_GB2312" w:cs="FangSong_GB2312"/>
          <w:bCs/>
          <w:color w:val="333333"/>
          <w:sz w:val="30"/>
          <w:szCs w:val="30"/>
          <w:shd w:val="clear" w:color="auto" w:fill="FFFFFF"/>
          <w:lang w:bidi="ar"/>
        </w:rPr>
        <w:t>件，其中，主办</w:t>
      </w:r>
      <w:r>
        <w:rPr>
          <w:rFonts w:hint="eastAsia" w:ascii="FangSong_GB2312" w:hAnsi="FangSong_GB2312" w:eastAsia="FangSong_GB2312" w:cs="FangSong_GB2312"/>
          <w:bCs/>
          <w:color w:val="333333"/>
          <w:sz w:val="30"/>
          <w:szCs w:val="30"/>
          <w:shd w:val="clear" w:color="auto" w:fill="FFFFFF"/>
          <w:lang w:val="en-US" w:eastAsia="zh-CN" w:bidi="ar"/>
        </w:rPr>
        <w:t>6</w:t>
      </w:r>
      <w:r>
        <w:rPr>
          <w:rFonts w:hint="eastAsia" w:ascii="FangSong_GB2312" w:hAnsi="FangSong_GB2312" w:eastAsia="FangSong_GB2312" w:cs="FangSong_GB2312"/>
          <w:bCs/>
          <w:color w:val="333333"/>
          <w:sz w:val="30"/>
          <w:szCs w:val="30"/>
          <w:shd w:val="clear" w:color="auto" w:fill="FFFFFF"/>
          <w:lang w:bidi="ar"/>
        </w:rPr>
        <w:t>件、</w:t>
      </w:r>
      <w:r>
        <w:rPr>
          <w:rFonts w:hint="eastAsia" w:ascii="FangSong_GB2312" w:hAnsi="FangSong_GB2312" w:eastAsia="FangSong_GB2312" w:cs="FangSong_GB2312"/>
          <w:bCs/>
          <w:color w:val="333333"/>
          <w:sz w:val="30"/>
          <w:szCs w:val="30"/>
          <w:shd w:val="clear" w:color="auto" w:fill="FFFFFF"/>
          <w:lang w:eastAsia="zh-CN" w:bidi="ar"/>
        </w:rPr>
        <w:t>会</w:t>
      </w:r>
      <w:r>
        <w:rPr>
          <w:rFonts w:hint="eastAsia" w:ascii="FangSong_GB2312" w:hAnsi="FangSong_GB2312" w:eastAsia="FangSong_GB2312" w:cs="FangSong_GB2312"/>
          <w:bCs/>
          <w:color w:val="333333"/>
          <w:sz w:val="30"/>
          <w:szCs w:val="30"/>
          <w:shd w:val="clear" w:color="auto" w:fill="FFFFFF"/>
          <w:lang w:bidi="ar"/>
        </w:rPr>
        <w:t>办</w:t>
      </w:r>
      <w:r>
        <w:rPr>
          <w:rFonts w:hint="eastAsia" w:ascii="FangSong_GB2312" w:hAnsi="FangSong_GB2312" w:eastAsia="FangSong_GB2312" w:cs="FangSong_GB2312"/>
          <w:bCs/>
          <w:color w:val="333333"/>
          <w:sz w:val="30"/>
          <w:szCs w:val="30"/>
          <w:shd w:val="clear" w:color="auto" w:fill="FFFFFF"/>
          <w:lang w:val="en-US" w:eastAsia="zh-CN" w:bidi="ar"/>
        </w:rPr>
        <w:t>16</w:t>
      </w:r>
      <w:r>
        <w:rPr>
          <w:rFonts w:hint="eastAsia" w:ascii="FangSong_GB2312" w:hAnsi="FangSong_GB2312" w:eastAsia="FangSong_GB2312" w:cs="FangSong_GB2312"/>
          <w:bCs/>
          <w:color w:val="333333"/>
          <w:sz w:val="30"/>
          <w:szCs w:val="30"/>
          <w:shd w:val="clear" w:color="auto" w:fill="FFFFFF"/>
          <w:lang w:bidi="ar"/>
        </w:rPr>
        <w:t>件、</w:t>
      </w:r>
      <w:r>
        <w:rPr>
          <w:rFonts w:hint="eastAsia" w:ascii="FangSong_GB2312" w:hAnsi="FangSong_GB2312" w:eastAsia="FangSong_GB2312" w:cs="FangSong_GB2312"/>
          <w:bCs/>
          <w:color w:val="333333"/>
          <w:sz w:val="30"/>
          <w:szCs w:val="30"/>
          <w:shd w:val="clear" w:color="auto" w:fill="FFFFFF"/>
          <w:lang w:eastAsia="zh-CN" w:bidi="ar"/>
        </w:rPr>
        <w:t>协</w:t>
      </w:r>
      <w:r>
        <w:rPr>
          <w:rFonts w:hint="eastAsia" w:ascii="FangSong_GB2312" w:hAnsi="FangSong_GB2312" w:eastAsia="FangSong_GB2312" w:cs="FangSong_GB2312"/>
          <w:bCs/>
          <w:color w:val="333333"/>
          <w:sz w:val="30"/>
          <w:szCs w:val="30"/>
          <w:shd w:val="clear" w:color="auto" w:fill="FFFFFF"/>
          <w:lang w:bidi="ar"/>
        </w:rPr>
        <w:t>办</w:t>
      </w:r>
      <w:r>
        <w:rPr>
          <w:rFonts w:hint="eastAsia" w:ascii="FangSong_GB2312" w:hAnsi="FangSong_GB2312" w:eastAsia="FangSong_GB2312" w:cs="FangSong_GB2312"/>
          <w:bCs/>
          <w:color w:val="333333"/>
          <w:sz w:val="30"/>
          <w:szCs w:val="30"/>
          <w:shd w:val="clear" w:color="auto" w:fill="FFFFFF"/>
          <w:lang w:val="en-US" w:eastAsia="zh-CN" w:bidi="ar"/>
        </w:rPr>
        <w:t>1</w:t>
      </w:r>
      <w:r>
        <w:rPr>
          <w:rFonts w:hint="eastAsia" w:ascii="FangSong_GB2312" w:hAnsi="FangSong_GB2312" w:eastAsia="FangSong_GB2312" w:cs="FangSong_GB2312"/>
          <w:bCs/>
          <w:color w:val="333333"/>
          <w:sz w:val="30"/>
          <w:szCs w:val="30"/>
          <w:shd w:val="clear" w:color="auto" w:fill="FFFFFF"/>
          <w:lang w:bidi="ar"/>
        </w:rPr>
        <w:t>件，内容涉及城市建设、</w:t>
      </w:r>
      <w:r>
        <w:rPr>
          <w:rFonts w:hint="eastAsia" w:ascii="FangSong_GB2312" w:hAnsi="FangSong_GB2312" w:eastAsia="FangSong_GB2312" w:cs="FangSong_GB2312"/>
          <w:bCs/>
          <w:color w:val="333333"/>
          <w:sz w:val="30"/>
          <w:szCs w:val="30"/>
          <w:shd w:val="clear" w:color="auto" w:fill="FFFFFF"/>
          <w:lang w:eastAsia="zh-CN" w:bidi="ar"/>
        </w:rPr>
        <w:t>历史文化名城保护</w:t>
      </w:r>
      <w:r>
        <w:rPr>
          <w:rFonts w:hint="eastAsia" w:ascii="FangSong_GB2312" w:hAnsi="FangSong_GB2312" w:eastAsia="FangSong_GB2312" w:cs="FangSong_GB2312"/>
          <w:bCs/>
          <w:color w:val="333333"/>
          <w:sz w:val="30"/>
          <w:szCs w:val="30"/>
          <w:shd w:val="clear" w:color="auto" w:fill="FFFFFF"/>
          <w:lang w:bidi="ar"/>
        </w:rPr>
        <w:t>、</w:t>
      </w:r>
      <w:r>
        <w:rPr>
          <w:rFonts w:hint="eastAsia" w:ascii="FangSong_GB2312" w:hAnsi="FangSong_GB2312" w:eastAsia="FangSong_GB2312" w:cs="FangSong_GB2312"/>
          <w:bCs/>
          <w:color w:val="333333"/>
          <w:sz w:val="30"/>
          <w:szCs w:val="30"/>
          <w:shd w:val="clear" w:color="auto" w:fill="FFFFFF"/>
          <w:lang w:eastAsia="zh-CN" w:bidi="ar"/>
        </w:rPr>
        <w:t>老旧小区改造</w:t>
      </w:r>
      <w:r>
        <w:rPr>
          <w:rFonts w:hint="eastAsia" w:ascii="FangSong_GB2312" w:hAnsi="FangSong_GB2312" w:eastAsia="FangSong_GB2312" w:cs="FangSong_GB2312"/>
          <w:bCs/>
          <w:color w:val="333333"/>
          <w:sz w:val="30"/>
          <w:szCs w:val="30"/>
          <w:shd w:val="clear" w:color="auto" w:fill="FFFFFF"/>
          <w:lang w:bidi="ar"/>
        </w:rPr>
        <w:t>、物业服务等多个领域。目前全部提案已按时办结，相关复文均上传</w:t>
      </w:r>
      <w:r>
        <w:rPr>
          <w:rFonts w:hint="eastAsia" w:ascii="FangSong_GB2312" w:hAnsi="FangSong_GB2312" w:eastAsia="FangSong_GB2312" w:cs="FangSong_GB2312"/>
          <w:bCs/>
          <w:color w:val="333333"/>
          <w:sz w:val="30"/>
          <w:szCs w:val="30"/>
          <w:shd w:val="clear" w:color="auto" w:fill="FFFFFF"/>
          <w:lang w:eastAsia="zh-CN" w:bidi="ar"/>
        </w:rPr>
        <w:t>聊城市智慧政协提案办理系统</w:t>
      </w:r>
      <w:r>
        <w:rPr>
          <w:rFonts w:hint="eastAsia" w:ascii="FangSong_GB2312" w:hAnsi="FangSong_GB2312" w:eastAsia="FangSong_GB2312" w:cs="FangSong_GB2312"/>
          <w:bCs/>
          <w:color w:val="333333"/>
          <w:sz w:val="30"/>
          <w:szCs w:val="30"/>
          <w:shd w:val="clear" w:color="auto" w:fill="FFFFFF"/>
          <w:lang w:bidi="ar"/>
        </w:rPr>
        <w:t>，报送有关单位和委员本人，基本实现了按时办结率、答复率、委员满意率“三个百分百”工作目标。</w:t>
      </w:r>
      <w:r>
        <w:rPr>
          <w:rFonts w:hint="eastAsia" w:ascii="FangSong_GB2312" w:hAnsi="FangSong_GB2312" w:eastAsia="FangSong_GB2312" w:cs="FangSong_GB2312"/>
          <w:bCs/>
          <w:color w:val="333333"/>
          <w:sz w:val="30"/>
          <w:szCs w:val="30"/>
          <w:shd w:val="clear" w:color="auto" w:fill="FFFFFF"/>
          <w:lang w:val="en-US" w:eastAsia="zh-CN" w:bidi="ar"/>
        </w:rPr>
        <w:t>23</w:t>
      </w:r>
      <w:r>
        <w:rPr>
          <w:rFonts w:hint="eastAsia" w:ascii="FangSong_GB2312" w:hAnsi="FangSong_GB2312" w:eastAsia="FangSong_GB2312" w:cs="FangSong_GB2312"/>
          <w:bCs/>
          <w:color w:val="333333"/>
          <w:sz w:val="30"/>
          <w:szCs w:val="30"/>
          <w:shd w:val="clear" w:color="auto" w:fill="FFFFFF"/>
          <w:lang w:bidi="ar"/>
        </w:rPr>
        <w:t>件提案中，委员所提问题已经解决或基本解决的</w:t>
      </w:r>
      <w:r>
        <w:rPr>
          <w:rFonts w:hint="eastAsia" w:ascii="FangSong_GB2312" w:hAnsi="FangSong_GB2312" w:eastAsia="FangSong_GB2312" w:cs="FangSong_GB2312"/>
          <w:bCs/>
          <w:color w:val="333333"/>
          <w:sz w:val="30"/>
          <w:szCs w:val="30"/>
          <w:shd w:val="clear" w:color="auto" w:fill="FFFFFF"/>
          <w:lang w:val="en-US" w:eastAsia="zh-CN" w:bidi="ar"/>
        </w:rPr>
        <w:t>5</w:t>
      </w:r>
      <w:r>
        <w:rPr>
          <w:rFonts w:hint="eastAsia" w:ascii="FangSong_GB2312" w:hAnsi="FangSong_GB2312" w:eastAsia="FangSong_GB2312" w:cs="FangSong_GB2312"/>
          <w:bCs/>
          <w:color w:val="333333"/>
          <w:sz w:val="30"/>
          <w:szCs w:val="30"/>
          <w:shd w:val="clear" w:color="auto" w:fill="FFFFFF"/>
          <w:lang w:bidi="ar"/>
        </w:rPr>
        <w:t>件，占</w:t>
      </w:r>
      <w:r>
        <w:rPr>
          <w:rFonts w:hint="eastAsia" w:ascii="FangSong_GB2312" w:hAnsi="FangSong_GB2312" w:eastAsia="FangSong_GB2312" w:cs="FangSong_GB2312"/>
          <w:bCs/>
          <w:color w:val="333333"/>
          <w:sz w:val="30"/>
          <w:szCs w:val="30"/>
          <w:shd w:val="clear" w:color="auto" w:fill="FFFFFF"/>
          <w:lang w:val="en-US" w:eastAsia="zh-CN" w:bidi="ar"/>
        </w:rPr>
        <w:t>21.7</w:t>
      </w:r>
      <w:r>
        <w:rPr>
          <w:rFonts w:hint="eastAsia" w:ascii="FangSong_GB2312" w:hAnsi="FangSong_GB2312" w:eastAsia="FangSong_GB2312" w:cs="FangSong_GB2312"/>
          <w:bCs/>
          <w:color w:val="333333"/>
          <w:sz w:val="30"/>
          <w:szCs w:val="30"/>
          <w:shd w:val="clear" w:color="auto" w:fill="FFFFFF"/>
          <w:lang w:bidi="ar"/>
        </w:rPr>
        <w:t>%；正在解决或列入规划解决的</w:t>
      </w:r>
      <w:r>
        <w:rPr>
          <w:rFonts w:hint="eastAsia" w:ascii="FangSong_GB2312" w:hAnsi="FangSong_GB2312" w:eastAsia="FangSong_GB2312" w:cs="FangSong_GB2312"/>
          <w:bCs/>
          <w:color w:val="333333"/>
          <w:sz w:val="30"/>
          <w:szCs w:val="30"/>
          <w:shd w:val="clear" w:color="auto" w:fill="FFFFFF"/>
          <w:lang w:val="en-US" w:eastAsia="zh-CN" w:bidi="ar"/>
        </w:rPr>
        <w:t>16</w:t>
      </w:r>
      <w:r>
        <w:rPr>
          <w:rFonts w:hint="eastAsia" w:ascii="FangSong_GB2312" w:hAnsi="FangSong_GB2312" w:eastAsia="FangSong_GB2312" w:cs="FangSong_GB2312"/>
          <w:bCs/>
          <w:color w:val="333333"/>
          <w:sz w:val="30"/>
          <w:szCs w:val="30"/>
          <w:shd w:val="clear" w:color="auto" w:fill="FFFFFF"/>
          <w:lang w:bidi="ar"/>
        </w:rPr>
        <w:t>件，占</w:t>
      </w:r>
      <w:r>
        <w:rPr>
          <w:rFonts w:hint="eastAsia" w:ascii="FangSong_GB2312" w:hAnsi="FangSong_GB2312" w:eastAsia="FangSong_GB2312" w:cs="FangSong_GB2312"/>
          <w:bCs/>
          <w:color w:val="333333"/>
          <w:sz w:val="30"/>
          <w:szCs w:val="30"/>
          <w:shd w:val="clear" w:color="auto" w:fill="FFFFFF"/>
          <w:lang w:val="en-US" w:eastAsia="zh-CN" w:bidi="ar"/>
        </w:rPr>
        <w:t>69.6</w:t>
      </w:r>
      <w:r>
        <w:rPr>
          <w:rFonts w:hint="eastAsia" w:ascii="FangSong_GB2312" w:hAnsi="FangSong_GB2312" w:eastAsia="FangSong_GB2312" w:cs="FangSong_GB2312"/>
          <w:bCs/>
          <w:color w:val="333333"/>
          <w:sz w:val="30"/>
          <w:szCs w:val="30"/>
          <w:shd w:val="clear" w:color="auto" w:fill="FFFFFF"/>
          <w:lang w:bidi="ar"/>
        </w:rPr>
        <w:t>%；</w:t>
      </w:r>
      <w:r>
        <w:rPr>
          <w:rFonts w:hint="eastAsia" w:ascii="FangSong_GB2312" w:hAnsi="FangSong_GB2312" w:eastAsia="FangSong_GB2312" w:cs="FangSong_GB2312"/>
          <w:bCs/>
          <w:color w:val="333333"/>
          <w:sz w:val="30"/>
          <w:szCs w:val="30"/>
          <w:shd w:val="clear" w:color="auto" w:fill="FFFFFF"/>
          <w:lang w:eastAsia="zh-CN" w:bidi="ar"/>
        </w:rPr>
        <w:t>个别</w:t>
      </w:r>
      <w:r>
        <w:rPr>
          <w:rFonts w:hint="eastAsia" w:ascii="FangSong_GB2312" w:hAnsi="FangSong_GB2312" w:eastAsia="FangSong_GB2312" w:cs="FangSong_GB2312"/>
          <w:bCs/>
          <w:color w:val="333333"/>
          <w:sz w:val="30"/>
          <w:szCs w:val="30"/>
          <w:shd w:val="clear" w:color="auto" w:fill="FFFFFF"/>
          <w:lang w:bidi="ar"/>
        </w:rPr>
        <w:t>委员所提</w:t>
      </w:r>
      <w:r>
        <w:rPr>
          <w:rFonts w:hint="eastAsia" w:ascii="FangSong_GB2312" w:hAnsi="FangSong_GB2312" w:eastAsia="FangSong_GB2312" w:cs="FangSong_GB2312"/>
          <w:bCs/>
          <w:color w:val="333333"/>
          <w:sz w:val="30"/>
          <w:szCs w:val="30"/>
          <w:shd w:val="clear" w:color="auto" w:fill="FFFFFF"/>
          <w:lang w:eastAsia="zh-CN" w:bidi="ar"/>
        </w:rPr>
        <w:t>城区小地块联合申报棚改项目</w:t>
      </w:r>
      <w:r>
        <w:rPr>
          <w:rFonts w:hint="eastAsia" w:ascii="FangSong_GB2312" w:hAnsi="FangSong_GB2312" w:eastAsia="FangSong_GB2312" w:cs="FangSong_GB2312"/>
          <w:bCs/>
          <w:color w:val="333333"/>
          <w:sz w:val="30"/>
          <w:szCs w:val="30"/>
          <w:shd w:val="clear" w:color="auto" w:fill="FFFFFF"/>
          <w:lang w:bidi="ar"/>
        </w:rPr>
        <w:t>等提案因受政策法规、职责权限等限制，暂时难以解决，将在下步工作中予以吸收借鉴。</w:t>
      </w:r>
    </w:p>
    <w:p>
      <w:pPr>
        <w:pStyle w:val="5"/>
        <w:widowControl/>
        <w:shd w:val="clear" w:color="auto" w:fill="FFFFFF"/>
        <w:spacing w:beforeAutospacing="0" w:afterAutospacing="0"/>
        <w:ind w:firstLine="600" w:firstLineChars="200"/>
        <w:jc w:val="both"/>
        <w:rPr>
          <w:rFonts w:hint="eastAsia" w:ascii="FangSong_GB2312" w:hAnsi="FangSong_GB2312" w:eastAsia="FangSong_GB2312" w:cs="FangSong_GB2312"/>
          <w:bCs/>
          <w:color w:val="333333"/>
          <w:sz w:val="30"/>
          <w:szCs w:val="30"/>
          <w:shd w:val="clear" w:color="auto" w:fill="FFFFFF"/>
          <w:lang w:bidi="ar"/>
        </w:rPr>
      </w:pPr>
      <w:r>
        <w:rPr>
          <w:rFonts w:hint="eastAsia" w:ascii="FangSong_GB2312" w:hAnsi="FangSong_GB2312" w:eastAsia="FangSong_GB2312" w:cs="FangSong_GB2312"/>
          <w:bCs/>
          <w:color w:val="333333"/>
          <w:sz w:val="30"/>
          <w:szCs w:val="30"/>
          <w:shd w:val="clear" w:color="auto" w:fill="FFFFFF"/>
          <w:lang w:bidi="ar"/>
        </w:rPr>
        <w:t>（二）落实上级年度政务公开工作要点情况。2023年市住建局认真贯彻落实《关于印发聊城市2023年政务公开工作要点的通知》，结合工作实际进一步明确了分工及责任，逐项对照落实，提高了政务公开的决策水平，推进政务公开规范化标准化水平不断提升。</w:t>
      </w:r>
    </w:p>
    <w:p>
      <w:pPr>
        <w:pStyle w:val="5"/>
        <w:widowControl/>
        <w:shd w:val="clear" w:color="auto" w:fill="FFFFFF"/>
        <w:spacing w:beforeAutospacing="0" w:afterAutospacing="0"/>
        <w:ind w:firstLine="600" w:firstLineChars="200"/>
        <w:jc w:val="both"/>
        <w:rPr>
          <w:rFonts w:hint="eastAsia" w:ascii="FangSong_GB2312" w:hAnsi="FangSong_GB2312" w:eastAsia="FangSong_GB2312" w:cs="FangSong_GB2312"/>
          <w:bCs/>
          <w:color w:val="333333"/>
          <w:sz w:val="30"/>
          <w:szCs w:val="30"/>
          <w:shd w:val="clear" w:color="auto" w:fill="FFFFFF"/>
          <w:lang w:val="en-US" w:eastAsia="zh-CN" w:bidi="ar"/>
        </w:rPr>
      </w:pPr>
      <w:r>
        <w:rPr>
          <w:rFonts w:hint="eastAsia" w:ascii="FangSong_GB2312" w:hAnsi="FangSong_GB2312" w:eastAsia="FangSong_GB2312" w:cs="FangSong_GB2312"/>
          <w:bCs/>
          <w:color w:val="333333"/>
          <w:sz w:val="30"/>
          <w:szCs w:val="30"/>
          <w:shd w:val="clear" w:color="auto" w:fill="FFFFFF"/>
          <w:lang w:val="en-US" w:eastAsia="zh-CN" w:bidi="ar"/>
        </w:rPr>
        <w:t>（三）收取政府信息公开信息处理费情况</w:t>
      </w:r>
    </w:p>
    <w:p>
      <w:pPr>
        <w:pStyle w:val="5"/>
        <w:widowControl/>
        <w:shd w:val="clear" w:color="auto" w:fill="FFFFFF"/>
        <w:spacing w:beforeAutospacing="0" w:afterAutospacing="0"/>
        <w:ind w:firstLine="600" w:firstLineChars="200"/>
        <w:jc w:val="both"/>
        <w:rPr>
          <w:rFonts w:ascii="FangSong_GB2312" w:hAnsi="FangSong_GB2312" w:eastAsia="FangSong_GB2312" w:cs="FangSong_GB2312"/>
          <w:bCs/>
          <w:color w:val="333333"/>
          <w:sz w:val="32"/>
          <w:szCs w:val="32"/>
          <w:shd w:val="clear" w:color="auto" w:fill="FFFFFF"/>
          <w:lang w:bidi="ar"/>
        </w:rPr>
      </w:pPr>
      <w:r>
        <w:rPr>
          <w:rFonts w:hint="eastAsia" w:ascii="FangSong_GB2312" w:hAnsi="FangSong_GB2312" w:eastAsia="FangSong_GB2312" w:cs="FangSong_GB2312"/>
          <w:bCs/>
          <w:color w:val="333333"/>
          <w:sz w:val="30"/>
          <w:szCs w:val="30"/>
          <w:shd w:val="clear" w:color="auto" w:fill="FFFFFF"/>
          <w:lang w:bidi="ar"/>
        </w:rPr>
        <w:t>2023年，聊城市住建局未收取政府信息公开信息处理费。</w:t>
      </w:r>
    </w:p>
    <w:sectPr>
      <w:footerReference r:id="rId3" w:type="default"/>
      <w:pgSz w:w="11906" w:h="16838"/>
      <w:pgMar w:top="1701" w:right="1587"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A00002BF" w:usb1="184F6CFA" w:usb2="00000012" w:usb3="00000000" w:csb0="00040001" w:csb1="00000000"/>
  </w:font>
  <w:font w:name="FangSong_GB2312">
    <w:altName w:val="仿宋_GB2312"/>
    <w:panose1 w:val="02010609030101010101"/>
    <w:charset w:val="86"/>
    <w:family w:val="modern"/>
    <w:pitch w:val="default"/>
    <w:sig w:usb0="00000000" w:usb1="00000000" w:usb2="00000010" w:usb3="00000000" w:csb0="00040000" w:csb1="00000000"/>
  </w:font>
  <w:font w:name="KaiTi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FangSong_GB2312">
    <w:altName w:val="仿宋_GB2312"/>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方正仿宋_GBK">
    <w:panose1 w:val="02000000000000000000"/>
    <w:charset w:val="86"/>
    <w:family w:val="auto"/>
    <w:pitch w:val="default"/>
    <w:sig w:usb0="A00002BF" w:usb1="38CF7CFA" w:usb2="00082016" w:usb3="00000000" w:csb0="00040001" w:csb1="00000000"/>
  </w:font>
  <w:font w:name="方正兰亭大黑_GBK">
    <w:panose1 w:val="02000000000000000000"/>
    <w:charset w:val="86"/>
    <w:family w:val="auto"/>
    <w:pitch w:val="default"/>
    <w:sig w:usb0="A00002BF" w:usb1="3BCF7CFA" w:usb2="00042016" w:usb3="00000010" w:csb0="00040001" w:csb1="00000000"/>
  </w:font>
  <w:font w:name="方正魏碑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rPr>
                          </w:pPr>
                          <w:r>
                            <w:fldChar w:fldCharType="begin"/>
                          </w:r>
                          <w:r>
                            <w:instrText xml:space="preserve"> PAGE  \* MERGEFORMAT </w:instrText>
                          </w:r>
                          <w:r>
                            <w:fldChar w:fldCharType="separate"/>
                          </w:r>
                          <w:r>
                            <w:rPr>
                              <w:rFonts w:hint="eastAsia"/>
                            </w:rPr>
                            <w:t>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rPr>
                        <w:rFonts w:hint="eastAsia"/>
                      </w:rPr>
                    </w:pPr>
                    <w:r>
                      <w:fldChar w:fldCharType="begin"/>
                    </w:r>
                    <w:r>
                      <w:instrText xml:space="preserve"> PAGE  \* MERGEFORMAT </w:instrText>
                    </w:r>
                    <w:r>
                      <w:fldChar w:fldCharType="separate"/>
                    </w:r>
                    <w:r>
                      <w:rPr>
                        <w:rFonts w:hint="eastAsia"/>
                      </w:rPr>
                      <w:t>7</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DE702D"/>
    <w:multiLevelType w:val="singleLevel"/>
    <w:tmpl w:val="DCDE702D"/>
    <w:lvl w:ilvl="0" w:tentative="0">
      <w:start w:val="6"/>
      <w:numFmt w:val="chineseCounting"/>
      <w:suff w:val="nothing"/>
      <w:lvlText w:val="%1、"/>
      <w:lvlJc w:val="left"/>
      <w:rPr>
        <w:rFonts w:hint="eastAsia"/>
      </w:rPr>
    </w:lvl>
  </w:abstractNum>
  <w:abstractNum w:abstractNumId="1">
    <w:nsid w:val="6E35B0DB"/>
    <w:multiLevelType w:val="singleLevel"/>
    <w:tmpl w:val="6E35B0DB"/>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3OGFmN2Y5Y2FkYjFmOGM5ZDdhYzk1YWE2YzVhMTYifQ=="/>
  </w:docVars>
  <w:rsids>
    <w:rsidRoot w:val="11AF18C8"/>
    <w:rsid w:val="002876AF"/>
    <w:rsid w:val="00676D20"/>
    <w:rsid w:val="009215E0"/>
    <w:rsid w:val="00CA188E"/>
    <w:rsid w:val="05F11A75"/>
    <w:rsid w:val="0A5371A2"/>
    <w:rsid w:val="0CA13776"/>
    <w:rsid w:val="0DA87805"/>
    <w:rsid w:val="11AF18C8"/>
    <w:rsid w:val="11B83122"/>
    <w:rsid w:val="15A649ED"/>
    <w:rsid w:val="15AF5FA2"/>
    <w:rsid w:val="17527900"/>
    <w:rsid w:val="19763B91"/>
    <w:rsid w:val="19F94F44"/>
    <w:rsid w:val="1A6A77C7"/>
    <w:rsid w:val="1DE0041F"/>
    <w:rsid w:val="28546167"/>
    <w:rsid w:val="2A1E1A37"/>
    <w:rsid w:val="2B1F7D54"/>
    <w:rsid w:val="2CF846EE"/>
    <w:rsid w:val="2FBF7F5A"/>
    <w:rsid w:val="329D7456"/>
    <w:rsid w:val="3B7D10AC"/>
    <w:rsid w:val="46F96C0B"/>
    <w:rsid w:val="472B0583"/>
    <w:rsid w:val="477F442B"/>
    <w:rsid w:val="4C343A36"/>
    <w:rsid w:val="4E9D1D67"/>
    <w:rsid w:val="50A218B6"/>
    <w:rsid w:val="51C301FC"/>
    <w:rsid w:val="53FC2D71"/>
    <w:rsid w:val="55723134"/>
    <w:rsid w:val="582232DD"/>
    <w:rsid w:val="5AD786EB"/>
    <w:rsid w:val="5B3F2F30"/>
    <w:rsid w:val="5FEF66B4"/>
    <w:rsid w:val="607E735B"/>
    <w:rsid w:val="62045801"/>
    <w:rsid w:val="67B34DBC"/>
    <w:rsid w:val="67CE0D8B"/>
    <w:rsid w:val="68514C8F"/>
    <w:rsid w:val="687E630D"/>
    <w:rsid w:val="6B5FAC76"/>
    <w:rsid w:val="6BB904D5"/>
    <w:rsid w:val="6BEB0CA3"/>
    <w:rsid w:val="6EE5F5AA"/>
    <w:rsid w:val="6F655B31"/>
    <w:rsid w:val="6F6BF87A"/>
    <w:rsid w:val="6FA52783"/>
    <w:rsid w:val="6FAEA112"/>
    <w:rsid w:val="76FF2516"/>
    <w:rsid w:val="77181135"/>
    <w:rsid w:val="781E7E54"/>
    <w:rsid w:val="79D446B7"/>
    <w:rsid w:val="7AFF7F28"/>
    <w:rsid w:val="7B7B07DF"/>
    <w:rsid w:val="7BB85684"/>
    <w:rsid w:val="7CB24C00"/>
    <w:rsid w:val="7D3134F6"/>
    <w:rsid w:val="7E5E06DB"/>
    <w:rsid w:val="7E9B42DC"/>
    <w:rsid w:val="7EDC38E3"/>
    <w:rsid w:val="7F3E0727"/>
    <w:rsid w:val="7FBE3E57"/>
    <w:rsid w:val="7FF83960"/>
    <w:rsid w:val="7FFFADA9"/>
    <w:rsid w:val="8F27A768"/>
    <w:rsid w:val="9C539141"/>
    <w:rsid w:val="B7F6679A"/>
    <w:rsid w:val="BED9B876"/>
    <w:rsid w:val="BF773E9F"/>
    <w:rsid w:val="CD7EB2B8"/>
    <w:rsid w:val="D3AF7DFF"/>
    <w:rsid w:val="DFDAF382"/>
    <w:rsid w:val="EB7B9286"/>
    <w:rsid w:val="EF3F61F6"/>
    <w:rsid w:val="F3BDC232"/>
    <w:rsid w:val="F3F70F66"/>
    <w:rsid w:val="F7AB5B69"/>
    <w:rsid w:val="FF5C5769"/>
    <w:rsid w:val="FF7727A3"/>
    <w:rsid w:val="FF7B172F"/>
    <w:rsid w:val="FFB720A1"/>
    <w:rsid w:val="FFDEA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3235</Words>
  <Characters>3354</Characters>
  <Lines>25</Lines>
  <Paragraphs>7</Paragraphs>
  <TotalTime>6</TotalTime>
  <ScaleCrop>false</ScaleCrop>
  <LinksUpToDate>false</LinksUpToDate>
  <CharactersWithSpaces>3357</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2023-01-17T07:45:00Z</dcterms:created>
  <dc:creator>诗人与熊</dc:creator>
  <cp:lastModifiedBy>董立立</cp:lastModifiedBy>
  <cp:lastPrinted>2023-01-19T08:18:00Z</cp:lastPrinted>
  <dcterms:modified xsi:type="dcterms:W3CDTF">2024-03-29T08:04:54Z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B58F6BBDB50147A4951B4F8D3B6491FC</vt:lpwstr>
  </property>
</Properties>
</file>