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附件</w:t>
      </w:r>
    </w:p>
    <w:p>
      <w:pPr>
        <w:widowControl/>
        <w:adjustRightInd w:val="0"/>
        <w:snapToGrid w:val="0"/>
        <w:spacing w:line="360" w:lineRule="auto"/>
        <w:jc w:val="center"/>
        <w:rPr>
          <w:rFonts w:ascii="方正小标宋简体" w:hAnsi="方正小标宋简体" w:eastAsia="方正小标宋简体" w:cs="方正小标宋简体"/>
          <w:bCs/>
          <w:color w:val="000000"/>
          <w:kern w:val="0"/>
          <w:sz w:val="44"/>
          <w:szCs w:val="44"/>
        </w:rPr>
      </w:pPr>
      <w:bookmarkStart w:id="0" w:name="_GoBack"/>
      <w:r>
        <w:rPr>
          <w:rFonts w:hint="eastAsia" w:ascii="方正小标宋简体" w:hAnsi="方正小标宋简体" w:eastAsia="方正小标宋简体" w:cs="方正小标宋简体"/>
          <w:bCs/>
          <w:color w:val="000000"/>
          <w:kern w:val="0"/>
          <w:sz w:val="44"/>
          <w:szCs w:val="44"/>
          <w:lang w:eastAsia="zh-CN"/>
        </w:rPr>
        <w:t>聊城市</w:t>
      </w:r>
      <w:r>
        <w:rPr>
          <w:rFonts w:hint="eastAsia" w:ascii="方正小标宋简体" w:hAnsi="方正小标宋简体" w:eastAsia="方正小标宋简体" w:cs="方正小标宋简体"/>
          <w:bCs/>
          <w:color w:val="000000"/>
          <w:kern w:val="0"/>
          <w:sz w:val="44"/>
          <w:szCs w:val="44"/>
        </w:rPr>
        <w:t>城乡建设领域碳达峰</w:t>
      </w:r>
      <w:r>
        <w:rPr>
          <w:rFonts w:hint="eastAsia" w:ascii="方正小标宋简体" w:hAnsi="方正小标宋简体" w:eastAsia="方正小标宋简体" w:cs="方正小标宋简体"/>
          <w:bCs/>
          <w:color w:val="000000"/>
          <w:kern w:val="0"/>
          <w:sz w:val="44"/>
          <w:szCs w:val="44"/>
          <w:lang w:eastAsia="zh-CN"/>
        </w:rPr>
        <w:t>实施方案</w:t>
      </w:r>
      <w:r>
        <w:rPr>
          <w:rFonts w:hint="eastAsia" w:ascii="方正小标宋简体" w:hAnsi="方正小标宋简体" w:eastAsia="方正小标宋简体" w:cs="方正小标宋简体"/>
          <w:bCs/>
          <w:color w:val="000000"/>
          <w:kern w:val="0"/>
          <w:sz w:val="44"/>
          <w:szCs w:val="44"/>
        </w:rPr>
        <w:t>重点任务及责任分工表</w:t>
      </w:r>
    </w:p>
    <w:bookmarkEnd w:id="0"/>
    <w:tbl>
      <w:tblPr>
        <w:tblStyle w:val="5"/>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58"/>
        <w:gridCol w:w="1478"/>
        <w:gridCol w:w="7166"/>
        <w:gridCol w:w="118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5" w:type="dxa"/>
            <w:noWrap w:val="0"/>
            <w:vAlign w:val="center"/>
          </w:tcPr>
          <w:p>
            <w:pPr>
              <w:widowControl/>
              <w:adjustRightInd w:val="0"/>
              <w:snapToGrid w:val="0"/>
              <w:jc w:val="center"/>
              <w:rPr>
                <w:rFonts w:ascii="黑体" w:hAnsi="黑体" w:eastAsia="黑体"/>
                <w:bCs/>
                <w:color w:val="000000"/>
                <w:kern w:val="0"/>
                <w:sz w:val="28"/>
                <w:szCs w:val="32"/>
              </w:rPr>
            </w:pPr>
            <w:r>
              <w:rPr>
                <w:rFonts w:hint="eastAsia" w:ascii="黑体" w:hAnsi="黑体" w:eastAsia="黑体"/>
                <w:bCs/>
                <w:color w:val="000000"/>
                <w:kern w:val="0"/>
                <w:sz w:val="28"/>
                <w:szCs w:val="32"/>
              </w:rPr>
              <w:t>序号</w:t>
            </w:r>
          </w:p>
        </w:tc>
        <w:tc>
          <w:tcPr>
            <w:tcW w:w="1258" w:type="dxa"/>
            <w:noWrap w:val="0"/>
            <w:vAlign w:val="center"/>
          </w:tcPr>
          <w:p>
            <w:pPr>
              <w:widowControl/>
              <w:adjustRightInd w:val="0"/>
              <w:snapToGrid w:val="0"/>
              <w:jc w:val="center"/>
              <w:rPr>
                <w:rFonts w:ascii="黑体" w:hAnsi="黑体" w:eastAsia="黑体"/>
                <w:bCs/>
                <w:color w:val="000000"/>
                <w:kern w:val="0"/>
                <w:sz w:val="28"/>
                <w:szCs w:val="32"/>
              </w:rPr>
            </w:pPr>
            <w:r>
              <w:rPr>
                <w:rFonts w:hint="eastAsia" w:ascii="黑体" w:hAnsi="黑体" w:eastAsia="黑体"/>
                <w:bCs/>
                <w:color w:val="000000"/>
                <w:kern w:val="0"/>
                <w:sz w:val="28"/>
                <w:szCs w:val="32"/>
              </w:rPr>
              <w:t>重点任务</w:t>
            </w:r>
          </w:p>
        </w:tc>
        <w:tc>
          <w:tcPr>
            <w:tcW w:w="1478" w:type="dxa"/>
            <w:noWrap w:val="0"/>
            <w:vAlign w:val="center"/>
          </w:tcPr>
          <w:p>
            <w:pPr>
              <w:widowControl/>
              <w:adjustRightInd w:val="0"/>
              <w:snapToGrid w:val="0"/>
              <w:jc w:val="center"/>
              <w:rPr>
                <w:rFonts w:ascii="黑体" w:hAnsi="黑体" w:eastAsia="黑体"/>
                <w:bCs/>
                <w:color w:val="000000"/>
                <w:kern w:val="0"/>
                <w:sz w:val="28"/>
                <w:szCs w:val="32"/>
              </w:rPr>
            </w:pPr>
            <w:r>
              <w:rPr>
                <w:rFonts w:hint="eastAsia" w:ascii="黑体" w:hAnsi="黑体" w:eastAsia="黑体"/>
                <w:bCs/>
                <w:color w:val="000000"/>
                <w:kern w:val="0"/>
                <w:sz w:val="28"/>
                <w:szCs w:val="32"/>
              </w:rPr>
              <w:t>主要措施</w:t>
            </w:r>
          </w:p>
        </w:tc>
        <w:tc>
          <w:tcPr>
            <w:tcW w:w="7166" w:type="dxa"/>
            <w:noWrap w:val="0"/>
            <w:vAlign w:val="center"/>
          </w:tcPr>
          <w:p>
            <w:pPr>
              <w:widowControl/>
              <w:adjustRightInd w:val="0"/>
              <w:snapToGrid w:val="0"/>
              <w:jc w:val="center"/>
              <w:rPr>
                <w:rFonts w:ascii="黑体" w:hAnsi="黑体" w:eastAsia="黑体"/>
                <w:bCs/>
                <w:color w:val="000000"/>
                <w:kern w:val="0"/>
                <w:sz w:val="28"/>
                <w:szCs w:val="32"/>
              </w:rPr>
            </w:pPr>
            <w:r>
              <w:rPr>
                <w:rFonts w:hint="eastAsia" w:ascii="黑体" w:hAnsi="黑体" w:eastAsia="黑体"/>
                <w:bCs/>
                <w:color w:val="000000"/>
                <w:kern w:val="0"/>
                <w:sz w:val="28"/>
                <w:szCs w:val="32"/>
              </w:rPr>
              <w:t>工作要求</w:t>
            </w:r>
          </w:p>
        </w:tc>
        <w:tc>
          <w:tcPr>
            <w:tcW w:w="1187" w:type="dxa"/>
            <w:noWrap w:val="0"/>
            <w:vAlign w:val="center"/>
          </w:tcPr>
          <w:p>
            <w:pPr>
              <w:widowControl/>
              <w:adjustRightInd w:val="0"/>
              <w:snapToGrid w:val="0"/>
              <w:jc w:val="center"/>
              <w:rPr>
                <w:rFonts w:ascii="黑体" w:hAnsi="黑体" w:eastAsia="黑体"/>
                <w:bCs/>
                <w:color w:val="000000"/>
                <w:kern w:val="0"/>
                <w:sz w:val="28"/>
                <w:szCs w:val="32"/>
              </w:rPr>
            </w:pPr>
            <w:r>
              <w:rPr>
                <w:rFonts w:hint="eastAsia" w:ascii="黑体" w:hAnsi="黑体" w:eastAsia="黑体"/>
                <w:bCs/>
                <w:color w:val="000000"/>
                <w:kern w:val="0"/>
                <w:sz w:val="28"/>
                <w:szCs w:val="32"/>
              </w:rPr>
              <w:t>牵头</w:t>
            </w:r>
          </w:p>
          <w:p>
            <w:pPr>
              <w:widowControl/>
              <w:adjustRightInd w:val="0"/>
              <w:snapToGrid w:val="0"/>
              <w:jc w:val="center"/>
              <w:rPr>
                <w:rFonts w:ascii="黑体" w:hAnsi="黑体" w:eastAsia="黑体"/>
                <w:bCs/>
                <w:color w:val="000000"/>
                <w:kern w:val="0"/>
                <w:sz w:val="28"/>
                <w:szCs w:val="32"/>
              </w:rPr>
            </w:pPr>
            <w:r>
              <w:rPr>
                <w:rFonts w:hint="eastAsia" w:ascii="黑体" w:hAnsi="黑体" w:eastAsia="黑体"/>
                <w:bCs/>
                <w:color w:val="000000"/>
                <w:kern w:val="0"/>
                <w:sz w:val="28"/>
                <w:szCs w:val="32"/>
              </w:rPr>
              <w:t>单位</w:t>
            </w:r>
          </w:p>
        </w:tc>
        <w:tc>
          <w:tcPr>
            <w:tcW w:w="2327" w:type="dxa"/>
            <w:noWrap w:val="0"/>
            <w:vAlign w:val="center"/>
          </w:tcPr>
          <w:p>
            <w:pPr>
              <w:widowControl/>
              <w:adjustRightInd w:val="0"/>
              <w:snapToGrid w:val="0"/>
              <w:jc w:val="center"/>
              <w:rPr>
                <w:rFonts w:ascii="黑体" w:hAnsi="黑体" w:eastAsia="黑体"/>
                <w:bCs/>
                <w:color w:val="000000"/>
                <w:kern w:val="0"/>
                <w:sz w:val="28"/>
                <w:szCs w:val="32"/>
              </w:rPr>
            </w:pPr>
            <w:r>
              <w:rPr>
                <w:rFonts w:hint="eastAsia" w:ascii="黑体" w:hAnsi="黑体" w:eastAsia="黑体"/>
                <w:bCs/>
                <w:color w:val="000000"/>
                <w:kern w:val="0"/>
                <w:sz w:val="28"/>
                <w:szCs w:val="32"/>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w:t>
            </w:r>
          </w:p>
        </w:tc>
        <w:tc>
          <w:tcPr>
            <w:tcW w:w="1258" w:type="dxa"/>
            <w:vMerge w:val="restart"/>
            <w:noWrap w:val="0"/>
            <w:vAlign w:val="center"/>
          </w:tcPr>
          <w:p>
            <w:pPr>
              <w:widowControl/>
              <w:adjustRightInd w:val="0"/>
              <w:snapToGrid w:val="0"/>
              <w:rPr>
                <w:rFonts w:ascii="楷体_GB2312" w:hAnsi="楷体_GB2312" w:eastAsia="楷体_GB2312" w:cs="楷体_GB2312"/>
                <w:color w:val="000000"/>
                <w:kern w:val="0"/>
                <w:sz w:val="24"/>
              </w:rPr>
            </w:pPr>
            <w:r>
              <w:rPr>
                <w:rFonts w:hint="eastAsia" w:ascii="黑体" w:hAnsi="黑体" w:eastAsia="黑体" w:cs="黑体"/>
                <w:color w:val="000000"/>
                <w:kern w:val="0"/>
                <w:sz w:val="24"/>
              </w:rPr>
              <w:t>系统推进绿色低碳城市建设</w:t>
            </w:r>
          </w:p>
          <w:p>
            <w:pPr>
              <w:widowControl/>
              <w:adjustRightInd w:val="0"/>
              <w:snapToGrid w:val="0"/>
              <w:rPr>
                <w:rFonts w:eastAsia="仿宋_GB2312"/>
                <w:color w:val="000000"/>
                <w:kern w:val="0"/>
                <w:sz w:val="24"/>
              </w:rPr>
            </w:pPr>
          </w:p>
        </w:tc>
        <w:tc>
          <w:tcPr>
            <w:tcW w:w="1478" w:type="dxa"/>
            <w:vMerge w:val="restart"/>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合理优化城市功能布局</w:t>
            </w: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按照资源环境承载能力，合理确定城市规模和空间结构，加快形成集约紧凑低碳的发展模式。科学有序布局生态、农业、城镇等功能空间，促进国土空间均衡开发。</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自然资源</w:t>
            </w:r>
            <w:r>
              <w:rPr>
                <w:rFonts w:hint="eastAsia" w:ascii="仿宋_GB2312" w:hAnsi="仿宋_GB2312" w:eastAsia="仿宋_GB2312" w:cs="仿宋_GB2312"/>
                <w:color w:val="000000"/>
                <w:kern w:val="0"/>
                <w:sz w:val="24"/>
                <w:lang w:eastAsia="zh-CN"/>
              </w:rPr>
              <w:t>和规划局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加大提升主城区和新建城区道路网密度，主城区道路网密度大于</w:t>
            </w:r>
            <w:r>
              <w:rPr>
                <w:rFonts w:hint="eastAsia" w:ascii="仿宋_GB2312" w:hAnsi="仿宋_GB2312" w:eastAsia="仿宋_GB2312" w:cs="仿宋_GB2312"/>
                <w:color w:val="000000"/>
                <w:kern w:val="0"/>
                <w:sz w:val="24"/>
                <w:u w:val="none"/>
              </w:rPr>
              <w:t>8</w:t>
            </w:r>
            <w:r>
              <w:rPr>
                <w:rFonts w:hint="eastAsia" w:ascii="仿宋_GB2312" w:hAnsi="仿宋_GB2312" w:eastAsia="仿宋_GB2312" w:cs="仿宋_GB2312"/>
                <w:color w:val="000000"/>
                <w:kern w:val="0"/>
                <w:sz w:val="24"/>
              </w:rPr>
              <w:t>公里/平方公里，合理布局快速干线交通、生活性集散交通和绿色慢行通道设施，到2025年全</w:t>
            </w: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新增城市道路</w:t>
            </w:r>
            <w:r>
              <w:rPr>
                <w:rFonts w:hint="eastAsia" w:ascii="仿宋_GB2312" w:hAnsi="仿宋_GB2312" w:eastAsia="仿宋_GB2312" w:cs="仿宋_GB2312"/>
                <w:color w:val="000000"/>
                <w:kern w:val="0"/>
                <w:sz w:val="24"/>
                <w:lang w:val="en-US" w:eastAsia="zh-CN"/>
              </w:rPr>
              <w:t>200</w:t>
            </w:r>
            <w:r>
              <w:rPr>
                <w:rFonts w:hint="eastAsia" w:ascii="仿宋_GB2312" w:hAnsi="仿宋_GB2312" w:eastAsia="仿宋_GB2312" w:cs="仿宋_GB2312"/>
                <w:color w:val="000000"/>
                <w:kern w:val="0"/>
                <w:sz w:val="24"/>
              </w:rPr>
              <w:t>公里。</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lang w:val="en"/>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自然资源</w:t>
            </w:r>
            <w:r>
              <w:rPr>
                <w:rFonts w:hint="eastAsia" w:ascii="仿宋_GB2312" w:hAnsi="仿宋_GB2312" w:eastAsia="仿宋_GB2312" w:cs="仿宋_GB2312"/>
                <w:color w:val="000000"/>
                <w:kern w:val="0"/>
                <w:sz w:val="24"/>
                <w:lang w:eastAsia="zh-CN"/>
              </w:rPr>
              <w:t>和规划局、市城管局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3</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vMerge w:val="restart"/>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开展绿色低碳社区建设</w:t>
            </w: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新建居住社区严格执行《居住区规划设计标准》《完整居住社区建设标准（试行）》，既有居住社区因地制宜配建相关设施，到2030年，完整居住社区覆盖率提高到</w:t>
            </w:r>
            <w:r>
              <w:rPr>
                <w:rFonts w:hint="eastAsia" w:ascii="仿宋_GB2312" w:hAnsi="仿宋_GB2312" w:eastAsia="仿宋_GB2312" w:cs="仿宋_GB2312"/>
                <w:color w:val="000000"/>
                <w:kern w:val="0"/>
                <w:sz w:val="24"/>
                <w:u w:val="none"/>
              </w:rPr>
              <w:t>60%</w:t>
            </w:r>
            <w:r>
              <w:rPr>
                <w:rFonts w:hint="eastAsia" w:ascii="仿宋_GB2312" w:hAnsi="仿宋_GB2312" w:eastAsia="仿宋_GB2312" w:cs="仿宋_GB2312"/>
                <w:color w:val="000000"/>
                <w:kern w:val="0"/>
                <w:sz w:val="24"/>
              </w:rPr>
              <w:t>以上。</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自然资源</w:t>
            </w:r>
            <w:r>
              <w:rPr>
                <w:rFonts w:hint="eastAsia" w:ascii="仿宋_GB2312" w:hAnsi="仿宋_GB2312" w:eastAsia="仿宋_GB2312" w:cs="仿宋_GB2312"/>
                <w:color w:val="000000"/>
                <w:kern w:val="0"/>
                <w:sz w:val="24"/>
                <w:lang w:eastAsia="zh-CN"/>
              </w:rPr>
              <w:t>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4</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有序推进城镇老旧小区改造，到2025年全面完成2000年前建成的老旧小区改造任务，力争基本完成2005年前建成的老旧小区改造任务，累计完成城镇老旧小区改造</w:t>
            </w:r>
            <w:r>
              <w:rPr>
                <w:rFonts w:hint="eastAsia" w:ascii="仿宋_GB2312" w:hAnsi="仿宋_GB2312" w:eastAsia="仿宋_GB2312" w:cs="仿宋_GB2312"/>
                <w:color w:val="000000"/>
                <w:kern w:val="0"/>
                <w:sz w:val="24"/>
                <w:lang w:val="en"/>
              </w:rPr>
              <w:t>13.64</w:t>
            </w:r>
            <w:r>
              <w:rPr>
                <w:rFonts w:hint="eastAsia" w:ascii="仿宋_GB2312" w:hAnsi="仿宋_GB2312" w:eastAsia="仿宋_GB2312" w:cs="仿宋_GB2312"/>
                <w:color w:val="000000"/>
                <w:kern w:val="0"/>
                <w:sz w:val="24"/>
                <w:lang w:val="en" w:eastAsia="zh-CN"/>
              </w:rPr>
              <w:t>万</w:t>
            </w:r>
            <w:r>
              <w:rPr>
                <w:rFonts w:hint="eastAsia" w:ascii="仿宋_GB2312" w:hAnsi="仿宋_GB2312" w:eastAsia="仿宋_GB2312" w:cs="仿宋_GB2312"/>
                <w:color w:val="000000"/>
                <w:kern w:val="0"/>
                <w:sz w:val="24"/>
              </w:rPr>
              <w:t>户。</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5</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vMerge w:val="restart"/>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提高城镇基础设施运行效率</w:t>
            </w: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加强供热、供气、供水等市政基础设施智能化建设管理，推进地下综合管廊建设及清洁热源、供热管网等建设改造，到2025年新增地下综合管廊</w:t>
            </w:r>
            <w:r>
              <w:rPr>
                <w:rFonts w:hint="eastAsia" w:ascii="仿宋_GB2312" w:hAnsi="仿宋_GB2312" w:eastAsia="仿宋_GB2312" w:cs="仿宋_GB2312"/>
                <w:color w:val="000000"/>
                <w:kern w:val="0"/>
                <w:sz w:val="24"/>
                <w:lang w:val="en-US" w:eastAsia="zh-CN"/>
              </w:rPr>
              <w:t>7.5</w:t>
            </w:r>
            <w:r>
              <w:rPr>
                <w:rFonts w:hint="eastAsia" w:ascii="仿宋_GB2312" w:hAnsi="仿宋_GB2312" w:eastAsia="仿宋_GB2312" w:cs="仿宋_GB2312"/>
                <w:color w:val="000000"/>
                <w:kern w:val="0"/>
                <w:sz w:val="24"/>
              </w:rPr>
              <w:t>公里，到2030年城市供热管网热损失比2020年下降</w:t>
            </w:r>
            <w:r>
              <w:rPr>
                <w:rFonts w:hint="eastAsia" w:ascii="仿宋_GB2312" w:hAnsi="仿宋_GB2312" w:eastAsia="仿宋_GB2312" w:cs="仿宋_GB2312"/>
                <w:color w:val="000000"/>
                <w:kern w:val="0"/>
                <w:sz w:val="24"/>
                <w:highlight w:val="none"/>
                <w:u w:val="none"/>
              </w:rPr>
              <w:t>5</w:t>
            </w:r>
            <w:r>
              <w:rPr>
                <w:rFonts w:hint="eastAsia" w:ascii="仿宋_GB2312" w:hAnsi="仿宋_GB2312" w:eastAsia="仿宋_GB2312" w:cs="仿宋_GB2312"/>
                <w:color w:val="000000"/>
                <w:kern w:val="0"/>
                <w:sz w:val="24"/>
              </w:rPr>
              <w:t>个百分点。</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lang w:val="en-US"/>
              </w:rPr>
            </w:pPr>
            <w:r>
              <w:rPr>
                <w:rFonts w:hint="eastAsia" w:ascii="仿宋_GB2312" w:hAnsi="仿宋_GB2312" w:eastAsia="仿宋_GB2312" w:cs="仿宋_GB2312"/>
                <w:color w:val="000000"/>
                <w:kern w:val="0"/>
                <w:sz w:val="24"/>
                <w:lang w:eastAsia="zh-CN"/>
              </w:rPr>
              <w:t>市城市管理局、</w:t>
            </w:r>
            <w:r>
              <w:rPr>
                <w:rFonts w:hint="eastAsia" w:ascii="仿宋_GB2312" w:hAnsi="仿宋_GB2312" w:eastAsia="仿宋_GB2312" w:cs="仿宋_GB2312"/>
                <w:color w:val="000000"/>
                <w:kern w:val="0"/>
                <w:sz w:val="24"/>
                <w:lang w:val="en-US" w:eastAsia="zh-CN"/>
              </w:rPr>
              <w:t>市住房和城乡建设局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6</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推进节水型城市建设，加大城市老旧供水管网改造力度，到2025年，</w:t>
            </w:r>
            <w:r>
              <w:rPr>
                <w:rFonts w:hint="eastAsia" w:ascii="仿宋_GB2312" w:hAnsi="仿宋_GB2312" w:eastAsia="仿宋_GB2312" w:cs="仿宋_GB2312"/>
                <w:sz w:val="24"/>
                <w:szCs w:val="24"/>
                <w:u w:val="none"/>
                <w:shd w:val="clear" w:color="auto" w:fill="FFFFFF"/>
              </w:rPr>
              <w:t>省级节水型载体创建达到国家节水型城市要求</w:t>
            </w:r>
            <w:r>
              <w:rPr>
                <w:rFonts w:hint="eastAsia" w:ascii="仿宋_GB2312" w:hAnsi="仿宋_GB2312" w:eastAsia="仿宋_GB2312" w:cs="仿宋_GB2312"/>
                <w:color w:val="000000"/>
                <w:kern w:val="0"/>
                <w:sz w:val="24"/>
              </w:rPr>
              <w:t>，城市公共供水管网漏损率控制在</w:t>
            </w:r>
            <w:r>
              <w:rPr>
                <w:rFonts w:hint="eastAsia" w:ascii="仿宋_GB2312" w:hAnsi="仿宋_GB2312" w:eastAsia="仿宋_GB2312" w:cs="仿宋_GB2312"/>
                <w:color w:val="000000"/>
                <w:kern w:val="0"/>
                <w:sz w:val="24"/>
                <w:u w:val="none"/>
              </w:rPr>
              <w:t>7.9%</w:t>
            </w:r>
            <w:r>
              <w:rPr>
                <w:rFonts w:hint="eastAsia" w:ascii="仿宋_GB2312" w:hAnsi="仿宋_GB2312" w:eastAsia="仿宋_GB2312" w:cs="仿宋_GB2312"/>
                <w:color w:val="000000"/>
                <w:kern w:val="0"/>
                <w:sz w:val="24"/>
              </w:rPr>
              <w:t>以内。</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市城市管理局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7</w:t>
            </w:r>
          </w:p>
        </w:tc>
        <w:tc>
          <w:tcPr>
            <w:tcW w:w="1258" w:type="dxa"/>
            <w:vMerge w:val="continue"/>
            <w:noWrap w:val="0"/>
            <w:vAlign w:val="center"/>
          </w:tcPr>
          <w:p>
            <w:pPr>
              <w:adjustRightInd w:val="0"/>
              <w:snapToGrid w:val="0"/>
              <w:rPr>
                <w:rFonts w:eastAsia="仿宋_GB2312"/>
                <w:color w:val="000000"/>
                <w:kern w:val="0"/>
                <w:sz w:val="24"/>
              </w:rPr>
            </w:pPr>
          </w:p>
        </w:tc>
        <w:tc>
          <w:tcPr>
            <w:tcW w:w="1478" w:type="dxa"/>
            <w:vMerge w:val="continue"/>
            <w:noWrap w:val="0"/>
            <w:vAlign w:val="center"/>
          </w:tcPr>
          <w:p>
            <w:pPr>
              <w:adjustRightInd w:val="0"/>
              <w:snapToGrid w:val="0"/>
              <w:rPr>
                <w:rFonts w:ascii="楷体" w:hAnsi="楷体" w:eastAsia="楷体" w:cs="楷体"/>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推动城市生活污水收集处理设施“厂网一体化”，建设污水资源化利用设施和污泥无害化资源化处置设施，到2025年，新建改造城区污水管网</w:t>
            </w:r>
            <w:r>
              <w:rPr>
                <w:rFonts w:hint="eastAsia" w:ascii="仿宋_GB2312" w:hAnsi="仿宋_GB2312" w:eastAsia="仿宋_GB2312" w:cs="仿宋_GB2312"/>
                <w:color w:val="000000"/>
                <w:kern w:val="0"/>
                <w:sz w:val="24"/>
                <w:lang w:val="en-US" w:eastAsia="zh-CN"/>
              </w:rPr>
              <w:t>200</w:t>
            </w:r>
            <w:r>
              <w:rPr>
                <w:rFonts w:hint="eastAsia" w:ascii="仿宋_GB2312" w:hAnsi="仿宋_GB2312" w:eastAsia="仿宋_GB2312" w:cs="仿宋_GB2312"/>
                <w:color w:val="000000"/>
                <w:kern w:val="0"/>
                <w:sz w:val="24"/>
              </w:rPr>
              <w:t>公里、雨水管网</w:t>
            </w:r>
            <w:r>
              <w:rPr>
                <w:rFonts w:hint="eastAsia" w:ascii="仿宋_GB2312" w:hAnsi="仿宋_GB2312" w:eastAsia="仿宋_GB2312" w:cs="仿宋_GB2312"/>
                <w:color w:val="000000"/>
                <w:kern w:val="0"/>
                <w:sz w:val="24"/>
                <w:u w:val="none"/>
                <w:lang w:val="en-US" w:eastAsia="zh-CN"/>
              </w:rPr>
              <w:t>300</w:t>
            </w:r>
            <w:r>
              <w:rPr>
                <w:rFonts w:hint="eastAsia" w:ascii="仿宋_GB2312" w:hAnsi="仿宋_GB2312" w:eastAsia="仿宋_GB2312" w:cs="仿宋_GB2312"/>
                <w:color w:val="000000"/>
                <w:kern w:val="0"/>
                <w:sz w:val="24"/>
              </w:rPr>
              <w:t>公里，城市建成区黑臭水体和整县（市、区）制雨污合流管网实现“双清零”，60％以上城市生活污水处理厂进行提标改造，出水达到准IV类水标准，污泥无害化处置率达到</w:t>
            </w:r>
            <w:r>
              <w:rPr>
                <w:rFonts w:hint="eastAsia" w:ascii="仿宋_GB2312" w:hAnsi="仿宋_GB2312" w:eastAsia="仿宋_GB2312" w:cs="仿宋_GB2312"/>
                <w:color w:val="000000"/>
                <w:kern w:val="0"/>
                <w:sz w:val="24"/>
                <w:u w:val="none"/>
              </w:rPr>
              <w:t>95</w:t>
            </w:r>
            <w:r>
              <w:rPr>
                <w:rFonts w:hint="eastAsia" w:ascii="仿宋_GB2312" w:hAnsi="仿宋_GB2312" w:eastAsia="仿宋_GB2312" w:cs="仿宋_GB2312"/>
                <w:color w:val="000000"/>
                <w:kern w:val="0"/>
                <w:sz w:val="24"/>
              </w:rPr>
              <w:t>％以上。</w:t>
            </w:r>
          </w:p>
        </w:tc>
        <w:tc>
          <w:tcPr>
            <w:tcW w:w="1187" w:type="dxa"/>
            <w:noWrap w:val="0"/>
            <w:vAlign w:val="center"/>
          </w:tcPr>
          <w:p>
            <w:pPr>
              <w:widowControl/>
              <w:adjustRightInd w:val="0"/>
              <w:snapToGrid w:val="0"/>
              <w:rPr>
                <w:rFonts w:hint="default" w:eastAsia="仿宋_GB2312"/>
                <w:color w:val="000000"/>
                <w:kern w:val="0"/>
                <w:sz w:val="24"/>
                <w:lang w:val="en-US"/>
              </w:rPr>
            </w:pPr>
            <w:r>
              <w:rPr>
                <w:rFonts w:hint="eastAsia" w:eastAsia="仿宋_GB2312"/>
                <w:color w:val="000000"/>
                <w:kern w:val="0"/>
                <w:sz w:val="24"/>
                <w:lang w:eastAsia="zh-CN"/>
              </w:rPr>
              <w:t>市城市管理局、</w:t>
            </w:r>
            <w:r>
              <w:rPr>
                <w:rFonts w:hint="eastAsia" w:eastAsia="仿宋_GB2312"/>
                <w:color w:val="000000"/>
                <w:kern w:val="0"/>
                <w:sz w:val="24"/>
                <w:lang w:val="en-US" w:eastAsia="zh-CN"/>
              </w:rPr>
              <w:t>市住房和城乡建设局</w:t>
            </w:r>
          </w:p>
        </w:tc>
        <w:tc>
          <w:tcPr>
            <w:tcW w:w="2327" w:type="dxa"/>
            <w:noWrap w:val="0"/>
            <w:vAlign w:val="center"/>
          </w:tcPr>
          <w:p>
            <w:pPr>
              <w:widowControl/>
              <w:adjustRightInd w:val="0"/>
              <w:snapToGrid w:val="0"/>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8</w:t>
            </w:r>
          </w:p>
        </w:tc>
        <w:tc>
          <w:tcPr>
            <w:tcW w:w="1258" w:type="dxa"/>
            <w:vMerge w:val="continue"/>
            <w:noWrap w:val="0"/>
            <w:vAlign w:val="center"/>
          </w:tcPr>
          <w:p>
            <w:pPr>
              <w:adjustRightInd w:val="0"/>
              <w:snapToGrid w:val="0"/>
              <w:rPr>
                <w:rFonts w:eastAsia="仿宋_GB2312"/>
                <w:color w:val="000000"/>
                <w:kern w:val="0"/>
                <w:sz w:val="24"/>
              </w:rPr>
            </w:pPr>
          </w:p>
        </w:tc>
        <w:tc>
          <w:tcPr>
            <w:tcW w:w="1478" w:type="dxa"/>
            <w:vMerge w:val="continue"/>
            <w:noWrap w:val="0"/>
            <w:vAlign w:val="center"/>
          </w:tcPr>
          <w:p>
            <w:pPr>
              <w:adjustRightInd w:val="0"/>
              <w:snapToGrid w:val="0"/>
              <w:rPr>
                <w:rFonts w:ascii="楷体" w:hAnsi="楷体" w:eastAsia="楷体" w:cs="楷体"/>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推广污水处理节能节电新技术，加强城镇污水资源化利用，到2025年城市（县城）再生水利用率达到55%。</w:t>
            </w:r>
          </w:p>
        </w:tc>
        <w:tc>
          <w:tcPr>
            <w:tcW w:w="1187" w:type="dxa"/>
            <w:noWrap w:val="0"/>
            <w:vAlign w:val="center"/>
          </w:tcPr>
          <w:p>
            <w:pPr>
              <w:widowControl/>
              <w:adjustRightInd w:val="0"/>
              <w:snapToGrid w:val="0"/>
              <w:rPr>
                <w:rFonts w:eastAsia="仿宋_GB2312"/>
                <w:color w:val="000000"/>
                <w:kern w:val="0"/>
                <w:sz w:val="24"/>
              </w:rPr>
            </w:pPr>
            <w:r>
              <w:rPr>
                <w:rFonts w:hint="eastAsia" w:eastAsia="仿宋_GB2312"/>
                <w:color w:val="000000"/>
                <w:kern w:val="0"/>
                <w:sz w:val="24"/>
                <w:lang w:eastAsia="zh-CN"/>
              </w:rPr>
              <w:t>市城市管理局</w:t>
            </w:r>
          </w:p>
        </w:tc>
        <w:tc>
          <w:tcPr>
            <w:tcW w:w="2327" w:type="dxa"/>
            <w:noWrap w:val="0"/>
            <w:vAlign w:val="center"/>
          </w:tcPr>
          <w:p>
            <w:pPr>
              <w:widowControl/>
              <w:adjustRightInd w:val="0"/>
              <w:snapToGrid w:val="0"/>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9</w:t>
            </w:r>
          </w:p>
        </w:tc>
        <w:tc>
          <w:tcPr>
            <w:tcW w:w="1258" w:type="dxa"/>
            <w:vMerge w:val="continue"/>
            <w:noWrap w:val="0"/>
            <w:vAlign w:val="center"/>
          </w:tcPr>
          <w:p>
            <w:pPr>
              <w:adjustRightInd w:val="0"/>
              <w:snapToGrid w:val="0"/>
              <w:rPr>
                <w:rFonts w:eastAsia="仿宋_GB2312"/>
                <w:color w:val="000000"/>
                <w:kern w:val="0"/>
                <w:sz w:val="24"/>
              </w:rPr>
            </w:pPr>
          </w:p>
        </w:tc>
        <w:tc>
          <w:tcPr>
            <w:tcW w:w="1478" w:type="dxa"/>
            <w:vMerge w:val="continue"/>
            <w:noWrap w:val="0"/>
            <w:vAlign w:val="center"/>
          </w:tcPr>
          <w:p>
            <w:pPr>
              <w:adjustRightInd w:val="0"/>
              <w:snapToGrid w:val="0"/>
              <w:rPr>
                <w:rFonts w:ascii="楷体" w:hAnsi="楷体" w:eastAsia="楷体" w:cs="楷体"/>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全面推进海绵城市建设，各类建设项目同步执行海绵城市标准，综合采用“渗、滞、蓄、净、用、排”等措施，减少雨水径流峰值和径流量，到2030年城市建成区可渗透面积比例达</w:t>
            </w:r>
            <w:r>
              <w:rPr>
                <w:rFonts w:hint="eastAsia" w:ascii="仿宋_GB2312" w:hAnsi="仿宋_GB2312" w:eastAsia="仿宋_GB2312" w:cs="仿宋_GB2312"/>
                <w:color w:val="000000"/>
                <w:kern w:val="0"/>
                <w:sz w:val="24"/>
                <w:u w:val="none"/>
              </w:rPr>
              <w:t>45%</w:t>
            </w:r>
            <w:r>
              <w:rPr>
                <w:rFonts w:hint="eastAsia" w:ascii="仿宋_GB2312" w:hAnsi="仿宋_GB2312" w:eastAsia="仿宋_GB2312" w:cs="仿宋_GB2312"/>
                <w:color w:val="000000"/>
                <w:kern w:val="0"/>
                <w:sz w:val="24"/>
              </w:rPr>
              <w:t>。</w:t>
            </w:r>
          </w:p>
        </w:tc>
        <w:tc>
          <w:tcPr>
            <w:tcW w:w="1187" w:type="dxa"/>
            <w:noWrap w:val="0"/>
            <w:vAlign w:val="center"/>
          </w:tcPr>
          <w:p>
            <w:pPr>
              <w:widowControl/>
              <w:adjustRightInd w:val="0"/>
              <w:snapToGrid w:val="0"/>
              <w:rPr>
                <w:rFonts w:eastAsia="仿宋_GB2312"/>
                <w:color w:val="000000"/>
                <w:kern w:val="0"/>
                <w:sz w:val="24"/>
              </w:rPr>
            </w:pPr>
            <w:r>
              <w:rPr>
                <w:rFonts w:hint="eastAsia" w:eastAsia="仿宋_GB2312"/>
                <w:color w:val="000000"/>
                <w:kern w:val="0"/>
                <w:sz w:val="24"/>
                <w:lang w:eastAsia="zh-CN"/>
              </w:rPr>
              <w:t>市</w:t>
            </w:r>
            <w:r>
              <w:rPr>
                <w:rFonts w:hint="eastAsia" w:eastAsia="仿宋_GB2312"/>
                <w:color w:val="000000"/>
                <w:kern w:val="0"/>
                <w:sz w:val="24"/>
              </w:rPr>
              <w:t>住房</w:t>
            </w:r>
            <w:r>
              <w:rPr>
                <w:rFonts w:hint="eastAsia" w:eastAsia="仿宋_GB2312"/>
                <w:color w:val="000000"/>
                <w:kern w:val="0"/>
                <w:sz w:val="24"/>
                <w:lang w:eastAsia="zh-CN"/>
              </w:rPr>
              <w:t>和</w:t>
            </w:r>
            <w:r>
              <w:rPr>
                <w:rFonts w:hint="eastAsia" w:eastAsia="仿宋_GB2312"/>
                <w:color w:val="000000"/>
                <w:kern w:val="0"/>
                <w:sz w:val="24"/>
              </w:rPr>
              <w:t>城乡建设</w:t>
            </w:r>
            <w:r>
              <w:rPr>
                <w:rFonts w:hint="eastAsia" w:eastAsia="仿宋_GB2312"/>
                <w:color w:val="000000"/>
                <w:kern w:val="0"/>
                <w:sz w:val="24"/>
                <w:lang w:eastAsia="zh-CN"/>
              </w:rPr>
              <w:t>局</w:t>
            </w:r>
          </w:p>
        </w:tc>
        <w:tc>
          <w:tcPr>
            <w:tcW w:w="2327" w:type="dxa"/>
            <w:noWrap w:val="0"/>
            <w:vAlign w:val="center"/>
          </w:tcPr>
          <w:p>
            <w:pPr>
              <w:widowControl/>
              <w:adjustRightInd w:val="0"/>
              <w:snapToGrid w:val="0"/>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10</w:t>
            </w:r>
          </w:p>
        </w:tc>
        <w:tc>
          <w:tcPr>
            <w:tcW w:w="1258" w:type="dxa"/>
            <w:vMerge w:val="continue"/>
            <w:noWrap w:val="0"/>
            <w:vAlign w:val="center"/>
          </w:tcPr>
          <w:p>
            <w:pPr>
              <w:adjustRightInd w:val="0"/>
              <w:snapToGrid w:val="0"/>
              <w:rPr>
                <w:rFonts w:eastAsia="仿宋_GB2312"/>
                <w:color w:val="000000"/>
                <w:kern w:val="0"/>
                <w:sz w:val="24"/>
              </w:rPr>
            </w:pPr>
          </w:p>
        </w:tc>
        <w:tc>
          <w:tcPr>
            <w:tcW w:w="1478" w:type="dxa"/>
            <w:vMerge w:val="continue"/>
            <w:noWrap w:val="0"/>
            <w:vAlign w:val="center"/>
          </w:tcPr>
          <w:p>
            <w:pPr>
              <w:adjustRightInd w:val="0"/>
              <w:snapToGrid w:val="0"/>
              <w:rPr>
                <w:rFonts w:ascii="楷体" w:hAnsi="楷体" w:eastAsia="楷体" w:cs="楷体"/>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完善生活垃圾源头减量及分类投放、分类收集、分类运输、分类处理机制，到2025年，基本建成生活垃圾分类处理系统，城市生活垃圾回收利用率达到</w:t>
            </w:r>
            <w:r>
              <w:rPr>
                <w:rFonts w:hint="eastAsia" w:ascii="仿宋_GB2312" w:hAnsi="仿宋_GB2312" w:eastAsia="仿宋_GB2312" w:cs="仿宋_GB2312"/>
                <w:color w:val="000000"/>
                <w:kern w:val="0"/>
                <w:sz w:val="24"/>
                <w:u w:val="none"/>
              </w:rPr>
              <w:t>35%</w:t>
            </w:r>
            <w:r>
              <w:rPr>
                <w:rFonts w:hint="eastAsia" w:ascii="仿宋_GB2312" w:hAnsi="仿宋_GB2312" w:eastAsia="仿宋_GB2312" w:cs="仿宋_GB2312"/>
                <w:color w:val="000000"/>
                <w:kern w:val="0"/>
                <w:sz w:val="24"/>
              </w:rPr>
              <w:t>以上，城乡生活垃圾焚烧处理率达到</w:t>
            </w:r>
            <w:r>
              <w:rPr>
                <w:rFonts w:hint="eastAsia" w:ascii="仿宋_GB2312" w:hAnsi="仿宋_GB2312" w:eastAsia="仿宋_GB2312" w:cs="仿宋_GB2312"/>
                <w:color w:val="000000"/>
                <w:kern w:val="0"/>
                <w:sz w:val="24"/>
                <w:u w:val="none"/>
              </w:rPr>
              <w:t>95</w:t>
            </w:r>
            <w:r>
              <w:rPr>
                <w:rFonts w:hint="eastAsia" w:ascii="仿宋_GB2312" w:hAnsi="仿宋_GB2312" w:eastAsia="仿宋_GB2312" w:cs="仿宋_GB2312"/>
                <w:color w:val="000000"/>
                <w:kern w:val="0"/>
                <w:sz w:val="24"/>
              </w:rPr>
              <w:t>%，50%以上的县（市、区）基本建成城乡生活垃圾分类模范县，2030年全</w:t>
            </w: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城市生活垃圾资源化利用率达到</w:t>
            </w:r>
            <w:r>
              <w:rPr>
                <w:rFonts w:hint="eastAsia" w:ascii="仿宋_GB2312" w:hAnsi="仿宋_GB2312" w:eastAsia="仿宋_GB2312" w:cs="仿宋_GB2312"/>
                <w:color w:val="000000"/>
                <w:kern w:val="0"/>
                <w:sz w:val="24"/>
                <w:u w:val="none"/>
              </w:rPr>
              <w:t>65%</w:t>
            </w:r>
            <w:r>
              <w:rPr>
                <w:rFonts w:hint="eastAsia" w:ascii="仿宋_GB2312" w:hAnsi="仿宋_GB2312" w:eastAsia="仿宋_GB2312" w:cs="仿宋_GB2312"/>
                <w:color w:val="000000"/>
                <w:kern w:val="0"/>
                <w:sz w:val="24"/>
              </w:rPr>
              <w:t>。</w:t>
            </w:r>
          </w:p>
        </w:tc>
        <w:tc>
          <w:tcPr>
            <w:tcW w:w="1187" w:type="dxa"/>
            <w:noWrap w:val="0"/>
            <w:vAlign w:val="center"/>
          </w:tcPr>
          <w:p>
            <w:pPr>
              <w:widowControl/>
              <w:adjustRightInd w:val="0"/>
              <w:snapToGrid w:val="0"/>
              <w:rPr>
                <w:rFonts w:eastAsia="仿宋_GB2312"/>
                <w:color w:val="000000"/>
                <w:kern w:val="0"/>
                <w:sz w:val="24"/>
              </w:rPr>
            </w:pPr>
            <w:r>
              <w:rPr>
                <w:rFonts w:hint="eastAsia" w:eastAsia="仿宋_GB2312"/>
                <w:color w:val="000000"/>
                <w:kern w:val="0"/>
                <w:sz w:val="24"/>
                <w:lang w:eastAsia="zh-CN"/>
              </w:rPr>
              <w:t>市城市管理局、市</w:t>
            </w:r>
            <w:r>
              <w:rPr>
                <w:rFonts w:hint="eastAsia" w:eastAsia="仿宋_GB2312"/>
                <w:color w:val="000000"/>
                <w:kern w:val="0"/>
                <w:sz w:val="24"/>
              </w:rPr>
              <w:t>住房</w:t>
            </w:r>
            <w:r>
              <w:rPr>
                <w:rFonts w:hint="eastAsia" w:eastAsia="仿宋_GB2312"/>
                <w:color w:val="000000"/>
                <w:kern w:val="0"/>
                <w:sz w:val="24"/>
                <w:lang w:eastAsia="zh-CN"/>
              </w:rPr>
              <w:t>和</w:t>
            </w:r>
            <w:r>
              <w:rPr>
                <w:rFonts w:hint="eastAsia" w:eastAsia="仿宋_GB2312"/>
                <w:color w:val="000000"/>
                <w:kern w:val="0"/>
                <w:sz w:val="24"/>
              </w:rPr>
              <w:t>城乡建设</w:t>
            </w:r>
            <w:r>
              <w:rPr>
                <w:rFonts w:hint="eastAsia" w:eastAsia="仿宋_GB2312"/>
                <w:color w:val="000000"/>
                <w:kern w:val="0"/>
                <w:sz w:val="24"/>
                <w:lang w:eastAsia="zh-CN"/>
              </w:rPr>
              <w:t>局</w:t>
            </w:r>
          </w:p>
        </w:tc>
        <w:tc>
          <w:tcPr>
            <w:tcW w:w="2327" w:type="dxa"/>
            <w:noWrap w:val="0"/>
            <w:vAlign w:val="center"/>
          </w:tcPr>
          <w:p>
            <w:pPr>
              <w:widowControl/>
              <w:adjustRightInd w:val="0"/>
              <w:snapToGrid w:val="0"/>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11</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增强城市绿化碳汇能力</w:t>
            </w:r>
          </w:p>
        </w:tc>
        <w:tc>
          <w:tcPr>
            <w:tcW w:w="7166" w:type="dxa"/>
            <w:noWrap w:val="0"/>
            <w:vAlign w:val="center"/>
          </w:tcPr>
          <w:p>
            <w:pPr>
              <w:widowControl/>
              <w:adjustRightInd w:val="0"/>
              <w:snapToGrid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到2025年，城市（县城）建成区绿地率达到</w:t>
            </w:r>
            <w:r>
              <w:rPr>
                <w:rFonts w:hint="eastAsia" w:ascii="仿宋_GB2312" w:hAnsi="仿宋_GB2312" w:eastAsia="仿宋_GB2312" w:cs="仿宋_GB2312"/>
                <w:color w:val="000000"/>
                <w:kern w:val="0"/>
                <w:sz w:val="24"/>
                <w:u w:val="none"/>
              </w:rPr>
              <w:t>37.5%</w:t>
            </w:r>
            <w:r>
              <w:rPr>
                <w:rFonts w:hint="eastAsia" w:ascii="仿宋_GB2312" w:hAnsi="仿宋_GB2312" w:eastAsia="仿宋_GB2312" w:cs="仿宋_GB2312"/>
                <w:color w:val="000000"/>
                <w:kern w:val="0"/>
                <w:sz w:val="24"/>
              </w:rPr>
              <w:t>，建成区绿化覆盖达到</w:t>
            </w:r>
            <w:r>
              <w:rPr>
                <w:rFonts w:hint="eastAsia" w:ascii="仿宋_GB2312" w:hAnsi="仿宋_GB2312" w:eastAsia="仿宋_GB2312" w:cs="仿宋_GB2312"/>
                <w:color w:val="000000"/>
                <w:kern w:val="0"/>
                <w:sz w:val="24"/>
                <w:u w:val="none"/>
              </w:rPr>
              <w:t>42%</w:t>
            </w:r>
            <w:r>
              <w:rPr>
                <w:rFonts w:hint="eastAsia" w:ascii="仿宋_GB2312" w:hAnsi="仿宋_GB2312" w:eastAsia="仿宋_GB2312" w:cs="仿宋_GB2312"/>
                <w:color w:val="000000"/>
                <w:kern w:val="0"/>
                <w:sz w:val="24"/>
              </w:rPr>
              <w:t>，人均公园绿地面积达到</w:t>
            </w:r>
            <w:r>
              <w:rPr>
                <w:rFonts w:hint="eastAsia" w:ascii="仿宋_GB2312" w:hAnsi="仿宋_GB2312" w:eastAsia="仿宋_GB2312" w:cs="仿宋_GB2312"/>
                <w:color w:val="000000"/>
                <w:kern w:val="0"/>
                <w:sz w:val="24"/>
                <w:lang w:val="en-US" w:eastAsia="zh-CN"/>
              </w:rPr>
              <w:t>16</w:t>
            </w:r>
            <w:r>
              <w:rPr>
                <w:rFonts w:hint="eastAsia" w:ascii="仿宋_GB2312" w:hAnsi="仿宋_GB2312" w:eastAsia="仿宋_GB2312" w:cs="仿宋_GB2312"/>
                <w:color w:val="000000"/>
                <w:kern w:val="0"/>
                <w:sz w:val="24"/>
              </w:rPr>
              <w:t>平方米，建成城市绿道</w:t>
            </w:r>
            <w:r>
              <w:rPr>
                <w:rFonts w:hint="eastAsia" w:ascii="仿宋_GB2312" w:hAnsi="仿宋_GB2312" w:eastAsia="仿宋_GB2312" w:cs="仿宋_GB2312"/>
                <w:color w:val="000000"/>
                <w:kern w:val="0"/>
                <w:sz w:val="24"/>
                <w:u w:val="none"/>
                <w:lang w:val="en-US" w:eastAsia="zh-CN"/>
              </w:rPr>
              <w:t>570</w:t>
            </w:r>
            <w:r>
              <w:rPr>
                <w:rFonts w:hint="eastAsia" w:ascii="仿宋_GB2312" w:hAnsi="仿宋_GB2312" w:eastAsia="仿宋_GB2312" w:cs="仿宋_GB2312"/>
                <w:color w:val="000000"/>
                <w:kern w:val="0"/>
                <w:sz w:val="24"/>
              </w:rPr>
              <w:t>公里；到2030年城市建成区绿地率达到</w:t>
            </w:r>
            <w:r>
              <w:rPr>
                <w:rFonts w:hint="eastAsia" w:ascii="仿宋_GB2312" w:hAnsi="仿宋_GB2312" w:eastAsia="仿宋_GB2312" w:cs="仿宋_GB2312"/>
                <w:color w:val="000000"/>
                <w:kern w:val="0"/>
                <w:sz w:val="24"/>
                <w:u w:val="none"/>
              </w:rPr>
              <w:t>39%</w:t>
            </w:r>
            <w:r>
              <w:rPr>
                <w:rFonts w:hint="eastAsia" w:ascii="仿宋_GB2312" w:hAnsi="仿宋_GB2312" w:eastAsia="仿宋_GB2312" w:cs="仿宋_GB2312"/>
                <w:color w:val="000000"/>
                <w:kern w:val="0"/>
                <w:sz w:val="24"/>
              </w:rPr>
              <w:t>。</w:t>
            </w:r>
          </w:p>
        </w:tc>
        <w:tc>
          <w:tcPr>
            <w:tcW w:w="1187" w:type="dxa"/>
            <w:noWrap w:val="0"/>
            <w:vAlign w:val="center"/>
          </w:tcPr>
          <w:p>
            <w:pPr>
              <w:widowControl/>
              <w:adjustRightInd w:val="0"/>
              <w:snapToGrid w:val="0"/>
              <w:rPr>
                <w:rFonts w:eastAsia="仿宋_GB2312"/>
                <w:color w:val="000000"/>
                <w:kern w:val="0"/>
                <w:sz w:val="24"/>
              </w:rPr>
            </w:pPr>
            <w:r>
              <w:rPr>
                <w:rFonts w:hint="eastAsia" w:eastAsia="仿宋_GB2312"/>
                <w:color w:val="000000"/>
                <w:kern w:val="0"/>
                <w:sz w:val="24"/>
                <w:lang w:eastAsia="zh-CN"/>
              </w:rPr>
              <w:t>市城市管理局</w:t>
            </w:r>
          </w:p>
        </w:tc>
        <w:tc>
          <w:tcPr>
            <w:tcW w:w="2327" w:type="dxa"/>
            <w:noWrap w:val="0"/>
            <w:vAlign w:val="center"/>
          </w:tcPr>
          <w:p>
            <w:pPr>
              <w:widowControl/>
              <w:adjustRightInd w:val="0"/>
              <w:snapToGrid w:val="0"/>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12</w:t>
            </w:r>
          </w:p>
        </w:tc>
        <w:tc>
          <w:tcPr>
            <w:tcW w:w="1258" w:type="dxa"/>
            <w:vMerge w:val="restart"/>
            <w:noWrap w:val="0"/>
            <w:vAlign w:val="center"/>
          </w:tcPr>
          <w:p>
            <w:pPr>
              <w:widowControl/>
              <w:adjustRightInd w:val="0"/>
              <w:snapToGrid w:val="0"/>
              <w:rPr>
                <w:rFonts w:eastAsia="仿宋_GB2312"/>
                <w:color w:val="000000"/>
                <w:kern w:val="0"/>
                <w:sz w:val="24"/>
              </w:rPr>
            </w:pPr>
            <w:r>
              <w:rPr>
                <w:rFonts w:hint="eastAsia" w:ascii="黑体" w:hAnsi="黑体" w:eastAsia="黑体" w:cs="黑体"/>
                <w:color w:val="000000"/>
                <w:kern w:val="0"/>
                <w:sz w:val="24"/>
              </w:rPr>
              <w:t>统筹开展绿色低碳县城和乡村建设</w:t>
            </w:r>
          </w:p>
        </w:tc>
        <w:tc>
          <w:tcPr>
            <w:tcW w:w="1478" w:type="dxa"/>
            <w:vMerge w:val="restart"/>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推进绿色低碳县城建设</w:t>
            </w:r>
          </w:p>
        </w:tc>
        <w:tc>
          <w:tcPr>
            <w:tcW w:w="7166" w:type="dxa"/>
            <w:noWrap w:val="0"/>
            <w:vAlign w:val="center"/>
          </w:tcPr>
          <w:p>
            <w:pPr>
              <w:widowControl/>
              <w:adjustRightInd w:val="0"/>
              <w:snapToGrid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加快以县城为重要载体的城镇化建设，提高县城综合承载能力，构建集约节约、尺度宜人的发展格局。</w:t>
            </w:r>
          </w:p>
        </w:tc>
        <w:tc>
          <w:tcPr>
            <w:tcW w:w="1187" w:type="dxa"/>
            <w:noWrap w:val="0"/>
            <w:vAlign w:val="center"/>
          </w:tcPr>
          <w:p>
            <w:pPr>
              <w:widowControl/>
              <w:adjustRightInd w:val="0"/>
              <w:snapToGrid w:val="0"/>
              <w:rPr>
                <w:rFonts w:eastAsia="仿宋_GB2312"/>
                <w:color w:val="000000"/>
                <w:kern w:val="0"/>
                <w:sz w:val="24"/>
              </w:rPr>
            </w:pPr>
            <w:r>
              <w:rPr>
                <w:rFonts w:hint="eastAsia" w:ascii="仿宋_GB2312" w:hAnsi="微软雅黑" w:eastAsia="仿宋_GB2312" w:cs="仿宋_GB2312"/>
                <w:i w:val="0"/>
                <w:caps w:val="0"/>
                <w:color w:val="auto"/>
                <w:spacing w:val="0"/>
                <w:sz w:val="24"/>
                <w:szCs w:val="24"/>
                <w:lang w:eastAsia="zh-CN"/>
              </w:rPr>
              <w:t>市</w:t>
            </w:r>
            <w:r>
              <w:rPr>
                <w:rFonts w:ascii="仿宋_GB2312" w:hAnsi="微软雅黑" w:eastAsia="仿宋_GB2312" w:cs="仿宋_GB2312"/>
                <w:i w:val="0"/>
                <w:caps w:val="0"/>
                <w:color w:val="auto"/>
                <w:spacing w:val="0"/>
                <w:sz w:val="24"/>
                <w:szCs w:val="24"/>
              </w:rPr>
              <w:t>发展</w:t>
            </w:r>
            <w:r>
              <w:rPr>
                <w:rFonts w:hint="eastAsia" w:ascii="仿宋_GB2312" w:hAnsi="微软雅黑" w:eastAsia="仿宋_GB2312" w:cs="仿宋_GB2312"/>
                <w:i w:val="0"/>
                <w:caps w:val="0"/>
                <w:color w:val="auto"/>
                <w:spacing w:val="0"/>
                <w:sz w:val="24"/>
                <w:szCs w:val="24"/>
                <w:lang w:eastAsia="zh-CN"/>
              </w:rPr>
              <w:t>和</w:t>
            </w:r>
            <w:r>
              <w:rPr>
                <w:rFonts w:ascii="仿宋_GB2312" w:hAnsi="微软雅黑" w:eastAsia="仿宋_GB2312" w:cs="仿宋_GB2312"/>
                <w:i w:val="0"/>
                <w:caps w:val="0"/>
                <w:color w:val="auto"/>
                <w:spacing w:val="0"/>
                <w:sz w:val="24"/>
                <w:szCs w:val="24"/>
              </w:rPr>
              <w:t>改革</w:t>
            </w:r>
            <w:r>
              <w:rPr>
                <w:rFonts w:hint="eastAsia" w:ascii="仿宋_GB2312" w:hAnsi="微软雅黑" w:eastAsia="仿宋_GB2312" w:cs="仿宋_GB2312"/>
                <w:i w:val="0"/>
                <w:caps w:val="0"/>
                <w:color w:val="auto"/>
                <w:spacing w:val="0"/>
                <w:sz w:val="24"/>
                <w:szCs w:val="24"/>
                <w:lang w:eastAsia="zh-CN"/>
              </w:rPr>
              <w:t>委员会</w:t>
            </w:r>
          </w:p>
        </w:tc>
        <w:tc>
          <w:tcPr>
            <w:tcW w:w="2327" w:type="dxa"/>
            <w:noWrap w:val="0"/>
            <w:vAlign w:val="center"/>
          </w:tcPr>
          <w:p>
            <w:pPr>
              <w:widowControl/>
              <w:adjustRightInd w:val="0"/>
              <w:snapToGrid w:val="0"/>
              <w:rPr>
                <w:rFonts w:hint="eastAsia" w:eastAsia="仿宋_GB2312"/>
                <w:color w:val="000000"/>
                <w:kern w:val="0"/>
                <w:sz w:val="24"/>
                <w:lang w:eastAsia="zh-CN"/>
              </w:rPr>
            </w:pPr>
            <w:r>
              <w:rPr>
                <w:rFonts w:hint="eastAsia" w:eastAsia="仿宋_GB2312"/>
                <w:color w:val="000000"/>
                <w:kern w:val="0"/>
                <w:sz w:val="24"/>
                <w:lang w:eastAsia="zh-CN"/>
              </w:rPr>
              <w:t>市</w:t>
            </w:r>
            <w:r>
              <w:rPr>
                <w:rFonts w:hint="eastAsia" w:eastAsia="仿宋_GB2312"/>
                <w:color w:val="000000"/>
                <w:kern w:val="0"/>
                <w:sz w:val="24"/>
              </w:rPr>
              <w:t>自然资源</w:t>
            </w:r>
            <w:r>
              <w:rPr>
                <w:rFonts w:hint="eastAsia" w:eastAsia="仿宋_GB2312"/>
                <w:color w:val="000000"/>
                <w:kern w:val="0"/>
                <w:sz w:val="24"/>
                <w:lang w:eastAsia="zh-CN"/>
              </w:rPr>
              <w:t>和规划局</w:t>
            </w:r>
            <w:r>
              <w:rPr>
                <w:rFonts w:hint="eastAsia" w:eastAsia="仿宋_GB2312"/>
                <w:color w:val="000000"/>
                <w:kern w:val="0"/>
                <w:sz w:val="24"/>
              </w:rPr>
              <w:t>、</w:t>
            </w:r>
            <w:r>
              <w:rPr>
                <w:rFonts w:hint="eastAsia" w:eastAsia="仿宋_GB2312"/>
                <w:color w:val="000000"/>
                <w:kern w:val="0"/>
                <w:sz w:val="24"/>
                <w:lang w:eastAsia="zh-CN"/>
              </w:rPr>
              <w:t>市</w:t>
            </w:r>
            <w:r>
              <w:rPr>
                <w:rFonts w:hint="eastAsia" w:eastAsia="仿宋_GB2312"/>
                <w:color w:val="000000"/>
                <w:kern w:val="0"/>
                <w:sz w:val="24"/>
              </w:rPr>
              <w:t>住房城乡建设</w:t>
            </w:r>
            <w:r>
              <w:rPr>
                <w:rFonts w:hint="eastAsia" w:eastAsia="仿宋_GB2312"/>
                <w:color w:val="000000"/>
                <w:kern w:val="0"/>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13</w:t>
            </w:r>
          </w:p>
        </w:tc>
        <w:tc>
          <w:tcPr>
            <w:tcW w:w="1258" w:type="dxa"/>
            <w:vMerge w:val="continue"/>
            <w:noWrap w:val="0"/>
            <w:vAlign w:val="center"/>
          </w:tcPr>
          <w:p>
            <w:pPr>
              <w:widowControl/>
              <w:adjustRightInd w:val="0"/>
              <w:snapToGrid w:val="0"/>
              <w:rPr>
                <w:rFonts w:ascii="黑体" w:hAnsi="黑体" w:eastAsia="黑体" w:cs="黑体"/>
                <w:color w:val="000000"/>
                <w:kern w:val="0"/>
                <w:sz w:val="24"/>
              </w:rPr>
            </w:pPr>
          </w:p>
        </w:tc>
        <w:tc>
          <w:tcPr>
            <w:tcW w:w="1478" w:type="dxa"/>
            <w:vMerge w:val="continue"/>
            <w:noWrap w:val="0"/>
            <w:vAlign w:val="center"/>
          </w:tcPr>
          <w:p>
            <w:pPr>
              <w:widowControl/>
              <w:adjustRightInd w:val="0"/>
              <w:snapToGrid w:val="0"/>
              <w:rPr>
                <w:rFonts w:ascii="楷体" w:hAnsi="楷体" w:eastAsia="楷体" w:cs="楷体"/>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推行“窄马路、密路网、小街区”，鼓励建设连续通畅的步行道、自行车道网络，县城内部</w:t>
            </w:r>
            <w:r>
              <w:rPr>
                <w:rFonts w:hint="eastAsia" w:ascii="仿宋_GB2312" w:hAnsi="仿宋_GB2312" w:eastAsia="仿宋_GB2312" w:cs="仿宋_GB2312"/>
                <w:color w:val="000000"/>
                <w:kern w:val="0"/>
                <w:sz w:val="24"/>
                <w:lang w:eastAsia="zh-CN"/>
              </w:rPr>
              <w:t>新规划</w:t>
            </w:r>
            <w:r>
              <w:rPr>
                <w:rFonts w:hint="eastAsia" w:ascii="仿宋_GB2312" w:hAnsi="仿宋_GB2312" w:eastAsia="仿宋_GB2312" w:cs="仿宋_GB2312"/>
                <w:color w:val="000000"/>
                <w:kern w:val="0"/>
                <w:sz w:val="24"/>
              </w:rPr>
              <w:t>道路红线宽度不宜超过</w:t>
            </w:r>
            <w:r>
              <w:rPr>
                <w:rFonts w:hint="eastAsia" w:ascii="仿宋_GB2312" w:hAnsi="仿宋_GB2312" w:eastAsia="仿宋_GB2312" w:cs="仿宋_GB2312"/>
                <w:color w:val="000000"/>
                <w:kern w:val="0"/>
                <w:sz w:val="24"/>
                <w:u w:val="none"/>
              </w:rPr>
              <w:t>40</w:t>
            </w:r>
            <w:r>
              <w:rPr>
                <w:rFonts w:hint="eastAsia" w:ascii="仿宋_GB2312" w:hAnsi="仿宋_GB2312" w:eastAsia="仿宋_GB2312" w:cs="仿宋_GB2312"/>
                <w:color w:val="000000"/>
                <w:kern w:val="0"/>
                <w:sz w:val="24"/>
              </w:rPr>
              <w:t>米，广场集中硬地面积不宜超过</w:t>
            </w:r>
            <w:r>
              <w:rPr>
                <w:rFonts w:hint="eastAsia" w:ascii="仿宋_GB2312" w:hAnsi="仿宋_GB2312" w:eastAsia="仿宋_GB2312" w:cs="仿宋_GB2312"/>
                <w:color w:val="000000"/>
                <w:kern w:val="0"/>
                <w:sz w:val="24"/>
                <w:u w:val="none"/>
              </w:rPr>
              <w:t>2</w:t>
            </w:r>
            <w:r>
              <w:rPr>
                <w:rFonts w:hint="eastAsia" w:ascii="仿宋_GB2312" w:hAnsi="仿宋_GB2312" w:eastAsia="仿宋_GB2312" w:cs="仿宋_GB2312"/>
                <w:color w:val="000000"/>
                <w:kern w:val="0"/>
                <w:sz w:val="24"/>
              </w:rPr>
              <w:t>公顷。</w:t>
            </w:r>
          </w:p>
        </w:tc>
        <w:tc>
          <w:tcPr>
            <w:tcW w:w="1187" w:type="dxa"/>
            <w:noWrap w:val="0"/>
            <w:vAlign w:val="center"/>
          </w:tcPr>
          <w:p>
            <w:pPr>
              <w:widowControl/>
              <w:adjustRightInd w:val="0"/>
              <w:snapToGrid w:val="0"/>
              <w:rPr>
                <w:rFonts w:eastAsia="仿宋_GB2312"/>
                <w:color w:val="000000"/>
                <w:kern w:val="0"/>
                <w:sz w:val="24"/>
              </w:rPr>
            </w:pPr>
            <w:r>
              <w:rPr>
                <w:rFonts w:hint="eastAsia" w:eastAsia="仿宋_GB2312"/>
                <w:color w:val="000000"/>
                <w:kern w:val="0"/>
                <w:sz w:val="24"/>
                <w:lang w:eastAsia="zh-CN"/>
              </w:rPr>
              <w:t>市</w:t>
            </w:r>
            <w:r>
              <w:rPr>
                <w:rFonts w:hint="eastAsia" w:eastAsia="仿宋_GB2312"/>
                <w:color w:val="000000"/>
                <w:kern w:val="0"/>
                <w:sz w:val="24"/>
              </w:rPr>
              <w:t>住房城乡建设</w:t>
            </w:r>
            <w:r>
              <w:rPr>
                <w:rFonts w:hint="eastAsia" w:eastAsia="仿宋_GB2312"/>
                <w:color w:val="000000"/>
                <w:kern w:val="0"/>
                <w:sz w:val="24"/>
                <w:lang w:eastAsia="zh-CN"/>
              </w:rPr>
              <w:t>局</w:t>
            </w:r>
          </w:p>
        </w:tc>
        <w:tc>
          <w:tcPr>
            <w:tcW w:w="2327" w:type="dxa"/>
            <w:noWrap w:val="0"/>
            <w:vAlign w:val="center"/>
          </w:tcPr>
          <w:p>
            <w:pPr>
              <w:widowControl/>
              <w:adjustRightInd w:val="0"/>
              <w:snapToGrid w:val="0"/>
              <w:rPr>
                <w:rFonts w:eastAsia="仿宋_GB2312"/>
                <w:color w:val="000000"/>
                <w:kern w:val="0"/>
                <w:sz w:val="24"/>
              </w:rPr>
            </w:pPr>
            <w:r>
              <w:rPr>
                <w:rFonts w:hint="eastAsia" w:eastAsia="仿宋_GB2312"/>
                <w:color w:val="000000"/>
                <w:kern w:val="0"/>
                <w:sz w:val="24"/>
                <w:lang w:eastAsia="zh-CN"/>
              </w:rPr>
              <w:t>市</w:t>
            </w:r>
            <w:r>
              <w:rPr>
                <w:rFonts w:hint="eastAsia" w:eastAsia="仿宋_GB2312"/>
                <w:color w:val="000000"/>
                <w:kern w:val="0"/>
                <w:sz w:val="24"/>
              </w:rPr>
              <w:t>自然资源</w:t>
            </w:r>
            <w:r>
              <w:rPr>
                <w:rFonts w:hint="eastAsia" w:eastAsia="仿宋_GB2312"/>
                <w:color w:val="000000"/>
                <w:kern w:val="0"/>
                <w:sz w:val="24"/>
                <w:lang w:eastAsia="zh-CN"/>
              </w:rPr>
              <w:t>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14</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vMerge w:val="restart"/>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建设绿色宜居乡村</w:t>
            </w: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加强传统村落和传统民居保护与利用，塑造乡村特色自然风貌。</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自然资源</w:t>
            </w:r>
            <w:r>
              <w:rPr>
                <w:rFonts w:hint="eastAsia" w:ascii="仿宋_GB2312" w:hAnsi="仿宋_GB2312" w:eastAsia="仿宋_GB2312" w:cs="仿宋_GB2312"/>
                <w:color w:val="000000"/>
                <w:kern w:val="0"/>
                <w:sz w:val="24"/>
                <w:lang w:eastAsia="zh-CN"/>
              </w:rPr>
              <w:t>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15</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进一步完善农村生活垃圾收运处置体系，推广生活垃圾分类新时尚，推动生活垃圾就近就地资源化利用。</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lang w:val="en-US" w:eastAsia="zh-CN"/>
              </w:rPr>
              <w:t>住房和城乡建设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16</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推广绿色低碳农房</w:t>
            </w: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支持发展星级绿色农房和低能耗（零能耗）、低碳（零碳）农房，到2030 年建成</w:t>
            </w:r>
            <w:r>
              <w:rPr>
                <w:rFonts w:hint="eastAsia" w:ascii="仿宋_GB2312" w:hAnsi="仿宋_GB2312" w:eastAsia="仿宋_GB2312" w:cs="仿宋_GB2312"/>
                <w:color w:val="000000"/>
                <w:kern w:val="0"/>
                <w:sz w:val="24"/>
                <w:lang w:eastAsia="zh-CN"/>
              </w:rPr>
              <w:t>部分</w:t>
            </w:r>
            <w:r>
              <w:rPr>
                <w:rFonts w:hint="eastAsia" w:ascii="仿宋_GB2312" w:hAnsi="仿宋_GB2312" w:eastAsia="仿宋_GB2312" w:cs="仿宋_GB2312"/>
                <w:color w:val="000000"/>
                <w:kern w:val="0"/>
                <w:sz w:val="24"/>
              </w:rPr>
              <w:t>绿色低碳农房试点示范。</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17</w:t>
            </w:r>
          </w:p>
        </w:tc>
        <w:tc>
          <w:tcPr>
            <w:tcW w:w="1258" w:type="dxa"/>
            <w:vMerge w:val="continue"/>
            <w:noWrap w:val="0"/>
            <w:vAlign w:val="center"/>
          </w:tcPr>
          <w:p>
            <w:pPr>
              <w:widowControl/>
              <w:adjustRightInd w:val="0"/>
              <w:snapToGrid w:val="0"/>
              <w:rPr>
                <w:rFonts w:eastAsia="仿宋_GB2312"/>
                <w:color w:val="000000"/>
                <w:kern w:val="0"/>
                <w:sz w:val="24"/>
              </w:rPr>
            </w:pPr>
          </w:p>
        </w:tc>
        <w:tc>
          <w:tcPr>
            <w:tcW w:w="1478"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推动农房用能结构调整</w:t>
            </w: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因地制宜在新建农房中采取清洁供暖方式，鼓励农作物秸秆、树枝等生物质清洁高效综合利用，推广生物质成型燃料炉具、生物质锅炉、太阳能等可再生能源供暖，到2025年力争农村地区清洁取暖率达到</w:t>
            </w:r>
            <w:r>
              <w:rPr>
                <w:rFonts w:hint="eastAsia" w:ascii="仿宋_GB2312" w:hAnsi="仿宋_GB2312" w:eastAsia="仿宋_GB2312" w:cs="仿宋_GB2312"/>
                <w:color w:val="000000"/>
                <w:kern w:val="0"/>
                <w:sz w:val="24"/>
                <w:u w:val="none"/>
              </w:rPr>
              <w:t>80%</w:t>
            </w:r>
            <w:r>
              <w:rPr>
                <w:rFonts w:hint="eastAsia" w:ascii="仿宋_GB2312" w:hAnsi="仿宋_GB2312" w:eastAsia="仿宋_GB2312" w:cs="仿宋_GB2312"/>
                <w:color w:val="000000"/>
                <w:kern w:val="0"/>
                <w:sz w:val="24"/>
              </w:rPr>
              <w:t>以上。</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市城市管理局、市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i w:val="0"/>
                <w:caps w:val="0"/>
                <w:color w:val="auto"/>
                <w:spacing w:val="0"/>
                <w:sz w:val="24"/>
                <w:szCs w:val="24"/>
                <w:lang w:eastAsia="zh-CN"/>
              </w:rPr>
              <w:t>市</w:t>
            </w:r>
            <w:r>
              <w:rPr>
                <w:rFonts w:hint="eastAsia" w:ascii="仿宋_GB2312" w:hAnsi="仿宋_GB2312" w:eastAsia="仿宋_GB2312" w:cs="仿宋_GB2312"/>
                <w:i w:val="0"/>
                <w:caps w:val="0"/>
                <w:color w:val="auto"/>
                <w:spacing w:val="0"/>
                <w:sz w:val="24"/>
                <w:szCs w:val="24"/>
              </w:rPr>
              <w:t>发展</w:t>
            </w:r>
            <w:r>
              <w:rPr>
                <w:rFonts w:hint="eastAsia" w:ascii="仿宋_GB2312" w:hAnsi="仿宋_GB2312" w:eastAsia="仿宋_GB2312" w:cs="仿宋_GB2312"/>
                <w:i w:val="0"/>
                <w:caps w:val="0"/>
                <w:color w:val="auto"/>
                <w:spacing w:val="0"/>
                <w:sz w:val="24"/>
                <w:szCs w:val="24"/>
                <w:lang w:eastAsia="zh-CN"/>
              </w:rPr>
              <w:t>和</w:t>
            </w:r>
            <w:r>
              <w:rPr>
                <w:rFonts w:hint="eastAsia" w:ascii="仿宋_GB2312" w:hAnsi="仿宋_GB2312" w:eastAsia="仿宋_GB2312" w:cs="仿宋_GB2312"/>
                <w:i w:val="0"/>
                <w:caps w:val="0"/>
                <w:color w:val="auto"/>
                <w:spacing w:val="0"/>
                <w:sz w:val="24"/>
                <w:szCs w:val="24"/>
              </w:rPr>
              <w:t>改革</w:t>
            </w:r>
            <w:r>
              <w:rPr>
                <w:rFonts w:hint="eastAsia" w:ascii="仿宋_GB2312" w:hAnsi="仿宋_GB2312" w:eastAsia="仿宋_GB2312" w:cs="仿宋_GB2312"/>
                <w:i w:val="0"/>
                <w:caps w:val="0"/>
                <w:color w:val="auto"/>
                <w:spacing w:val="0"/>
                <w:sz w:val="24"/>
                <w:szCs w:val="24"/>
                <w:lang w:eastAsia="zh-CN"/>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18</w:t>
            </w:r>
          </w:p>
        </w:tc>
        <w:tc>
          <w:tcPr>
            <w:tcW w:w="1258" w:type="dxa"/>
            <w:vMerge w:val="restart"/>
            <w:noWrap w:val="0"/>
            <w:vAlign w:val="center"/>
          </w:tcPr>
          <w:p>
            <w:pPr>
              <w:widowControl/>
              <w:adjustRightInd w:val="0"/>
              <w:snapToGrid w:val="0"/>
              <w:rPr>
                <w:rFonts w:ascii="黑体" w:hAnsi="黑体" w:eastAsia="黑体" w:cs="黑体"/>
                <w:color w:val="000000"/>
                <w:kern w:val="0"/>
                <w:sz w:val="24"/>
              </w:rPr>
            </w:pPr>
            <w:r>
              <w:rPr>
                <w:rFonts w:hint="eastAsia" w:ascii="黑体" w:hAnsi="黑体" w:eastAsia="黑体" w:cs="黑体"/>
                <w:color w:val="000000"/>
                <w:kern w:val="0"/>
                <w:sz w:val="24"/>
              </w:rPr>
              <w:t>提升建筑全链条绿色低碳发展水平</w:t>
            </w:r>
          </w:p>
          <w:p>
            <w:pPr>
              <w:adjustRightInd w:val="0"/>
              <w:snapToGrid w:val="0"/>
              <w:rPr>
                <w:rFonts w:eastAsia="仿宋_GB2312"/>
                <w:color w:val="000000"/>
                <w:kern w:val="0"/>
                <w:sz w:val="24"/>
              </w:rPr>
            </w:pPr>
          </w:p>
        </w:tc>
        <w:tc>
          <w:tcPr>
            <w:tcW w:w="1478" w:type="dxa"/>
            <w:vMerge w:val="restart"/>
            <w:noWrap w:val="0"/>
            <w:vAlign w:val="center"/>
          </w:tcPr>
          <w:p>
            <w:pPr>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全面推广绿色节能建筑</w:t>
            </w: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镇新建民用建筑全面执行绿色建筑标准，市辖区城市规划区范围内新建民用建筑、其他县（市）政府投资或以政府投资为主的公共建筑以及其他大型公共建筑等建设工程全面执行二星级及以上绿色建筑标准，并应获得相应的绿色建筑标识；超高层建筑项目按照三星级绿色建筑标准建设，并应获得相应的绿色建筑标识。“十四五”期间，新增绿色建筑</w:t>
            </w:r>
            <w:r>
              <w:rPr>
                <w:rFonts w:hint="eastAsia" w:ascii="仿宋_GB2312" w:hAnsi="仿宋_GB2312" w:eastAsia="仿宋_GB2312" w:cs="仿宋_GB2312"/>
                <w:color w:val="000000"/>
                <w:kern w:val="0"/>
                <w:sz w:val="24"/>
                <w:lang w:val="en-US" w:eastAsia="zh-CN"/>
              </w:rPr>
              <w:t>2000万</w:t>
            </w:r>
            <w:r>
              <w:rPr>
                <w:rFonts w:hint="eastAsia" w:ascii="仿宋_GB2312" w:hAnsi="仿宋_GB2312" w:eastAsia="仿宋_GB2312" w:cs="仿宋_GB2312"/>
                <w:color w:val="000000"/>
                <w:kern w:val="0"/>
                <w:sz w:val="24"/>
              </w:rPr>
              <w:t>平方米以上，获得绿色建筑标识项目面积</w:t>
            </w:r>
            <w:r>
              <w:rPr>
                <w:rFonts w:hint="eastAsia" w:ascii="仿宋_GB2312" w:hAnsi="仿宋_GB2312" w:eastAsia="仿宋_GB2312" w:cs="仿宋_GB2312"/>
                <w:color w:val="000000"/>
                <w:kern w:val="0"/>
                <w:sz w:val="24"/>
                <w:lang w:val="en-US" w:eastAsia="zh-CN"/>
              </w:rPr>
              <w:t>30万</w:t>
            </w:r>
            <w:r>
              <w:rPr>
                <w:rFonts w:hint="eastAsia" w:ascii="仿宋_GB2312" w:hAnsi="仿宋_GB2312" w:eastAsia="仿宋_GB2312" w:cs="仿宋_GB2312"/>
                <w:color w:val="000000"/>
                <w:kern w:val="0"/>
                <w:sz w:val="24"/>
              </w:rPr>
              <w:t>平方米。</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19</w:t>
            </w:r>
          </w:p>
        </w:tc>
        <w:tc>
          <w:tcPr>
            <w:tcW w:w="1258" w:type="dxa"/>
            <w:vMerge w:val="continue"/>
            <w:noWrap w:val="0"/>
            <w:vAlign w:val="center"/>
          </w:tcPr>
          <w:p>
            <w:pPr>
              <w:adjustRightInd w:val="0"/>
              <w:snapToGrid w:val="0"/>
              <w:jc w:val="center"/>
              <w:rPr>
                <w:rFonts w:eastAsia="仿宋_GB2312"/>
                <w:color w:val="000000"/>
                <w:kern w:val="0"/>
                <w:sz w:val="24"/>
              </w:rPr>
            </w:pPr>
          </w:p>
        </w:tc>
        <w:tc>
          <w:tcPr>
            <w:tcW w:w="1478" w:type="dxa"/>
            <w:vMerge w:val="continue"/>
            <w:noWrap w:val="0"/>
            <w:vAlign w:val="center"/>
          </w:tcPr>
          <w:p>
            <w:pPr>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城镇新建民用建筑严格执行建筑节能标准，逐步提高建筑能效水平，到2023年新建居住建筑本体达到83%节能要求，2025年前新建公共建筑本体达到78%节能要求。</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20</w:t>
            </w:r>
          </w:p>
        </w:tc>
        <w:tc>
          <w:tcPr>
            <w:tcW w:w="1258" w:type="dxa"/>
            <w:vMerge w:val="continue"/>
            <w:noWrap w:val="0"/>
            <w:vAlign w:val="center"/>
          </w:tcPr>
          <w:p>
            <w:pPr>
              <w:adjustRightInd w:val="0"/>
              <w:snapToGrid w:val="0"/>
              <w:jc w:val="center"/>
              <w:rPr>
                <w:rFonts w:eastAsia="仿宋_GB2312"/>
                <w:color w:val="000000"/>
                <w:kern w:val="0"/>
                <w:sz w:val="24"/>
              </w:rPr>
            </w:pPr>
          </w:p>
        </w:tc>
        <w:tc>
          <w:tcPr>
            <w:tcW w:w="1478" w:type="dxa"/>
            <w:vMerge w:val="restart"/>
            <w:noWrap w:val="0"/>
            <w:vAlign w:val="center"/>
          </w:tcPr>
          <w:p>
            <w:pPr>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提升既有建筑能效水平</w:t>
            </w: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统筹推进既有居住建筑节能改造，鼓励实施超低能耗或绿色化改造，</w:t>
            </w:r>
            <w:r>
              <w:rPr>
                <w:rFonts w:hint="eastAsia" w:ascii="仿宋_GB2312" w:hAnsi="仿宋_GB2312" w:eastAsia="仿宋_GB2312" w:cs="仿宋_GB2312"/>
                <w:color w:val="000000"/>
                <w:kern w:val="0"/>
                <w:sz w:val="24"/>
                <w:szCs w:val="24"/>
                <w:u w:val="none"/>
              </w:rPr>
              <w:t>“十四五”期间完成既有居住建筑节能改造</w:t>
            </w:r>
            <w:r>
              <w:rPr>
                <w:rFonts w:hint="eastAsia" w:ascii="仿宋_GB2312" w:hAnsi="仿宋_GB2312" w:eastAsia="仿宋_GB2312" w:cs="仿宋_GB2312"/>
                <w:color w:val="auto"/>
                <w:kern w:val="0"/>
                <w:sz w:val="24"/>
                <w:szCs w:val="24"/>
                <w:u w:val="none"/>
                <w:lang w:val="en-US" w:eastAsia="zh-CN"/>
              </w:rPr>
              <w:t>200</w:t>
            </w:r>
            <w:r>
              <w:rPr>
                <w:rFonts w:hint="eastAsia" w:ascii="仿宋_GB2312" w:hAnsi="仿宋_GB2312" w:eastAsia="仿宋_GB2312" w:cs="仿宋_GB2312"/>
                <w:color w:val="000000"/>
                <w:kern w:val="0"/>
                <w:sz w:val="24"/>
                <w:szCs w:val="24"/>
                <w:u w:val="none"/>
              </w:rPr>
              <w:t>万平方米，</w:t>
            </w:r>
            <w:r>
              <w:rPr>
                <w:rFonts w:hint="eastAsia" w:ascii="仿宋_GB2312" w:hAnsi="仿宋_GB2312" w:eastAsia="仿宋_GB2312" w:cs="仿宋_GB2312"/>
                <w:color w:val="000000"/>
                <w:kern w:val="0"/>
                <w:sz w:val="24"/>
                <w:szCs w:val="24"/>
              </w:rPr>
              <w:t>力争到2030年具备节能改造价值和条件的既有居住建筑实现应改尽改。</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住房</w:t>
            </w:r>
            <w:r>
              <w:rPr>
                <w:rFonts w:hint="eastAsia" w:ascii="仿宋_GB2312" w:hAnsi="仿宋_GB2312" w:eastAsia="仿宋_GB2312" w:cs="仿宋_GB2312"/>
                <w:color w:val="000000"/>
                <w:kern w:val="0"/>
                <w:sz w:val="24"/>
                <w:szCs w:val="24"/>
                <w:lang w:eastAsia="zh-CN"/>
              </w:rPr>
              <w:t>和</w:t>
            </w:r>
            <w:r>
              <w:rPr>
                <w:rFonts w:hint="eastAsia" w:ascii="仿宋_GB2312" w:hAnsi="仿宋_GB2312" w:eastAsia="仿宋_GB2312" w:cs="仿宋_GB2312"/>
                <w:color w:val="000000"/>
                <w:kern w:val="0"/>
                <w:sz w:val="24"/>
                <w:szCs w:val="24"/>
              </w:rPr>
              <w:t>城乡建设</w:t>
            </w:r>
            <w:r>
              <w:rPr>
                <w:rFonts w:hint="eastAsia" w:ascii="仿宋_GB2312" w:hAnsi="仿宋_GB2312" w:eastAsia="仿宋_GB2312" w:cs="仿宋_GB2312"/>
                <w:color w:val="000000"/>
                <w:kern w:val="0"/>
                <w:sz w:val="24"/>
                <w:szCs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21</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continue"/>
            <w:noWrap w:val="0"/>
            <w:vAlign w:val="center"/>
          </w:tcPr>
          <w:p>
            <w:pPr>
              <w:widowControl/>
              <w:adjustRightInd w:val="0"/>
              <w:snapToGrid w:val="0"/>
              <w:rPr>
                <w:rFonts w:ascii="楷体" w:hAnsi="楷体" w:eastAsia="楷体" w:cs="楷体"/>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以机关办公建筑、大型公共建筑等为重点，</w:t>
            </w:r>
            <w:r>
              <w:rPr>
                <w:rFonts w:hint="eastAsia" w:ascii="仿宋_GB2312" w:hAnsi="仿宋_GB2312" w:eastAsia="仿宋_GB2312" w:cs="仿宋_GB2312"/>
                <w:color w:val="000000"/>
                <w:kern w:val="0"/>
                <w:sz w:val="24"/>
                <w:szCs w:val="24"/>
                <w:lang w:val="en-US" w:eastAsia="zh-CN"/>
              </w:rPr>
              <w:t>在城市更新中积极开展沿路公共建筑节能改造，</w:t>
            </w:r>
            <w:r>
              <w:rPr>
                <w:rFonts w:hint="eastAsia" w:ascii="仿宋_GB2312" w:hAnsi="仿宋_GB2312" w:eastAsia="仿宋_GB2312" w:cs="仿宋_GB2312"/>
                <w:color w:val="000000"/>
                <w:kern w:val="0"/>
                <w:sz w:val="24"/>
                <w:szCs w:val="24"/>
              </w:rPr>
              <w:t>“十四五”期间完成公共建筑节能改造</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u w:val="none"/>
              </w:rPr>
              <w:t>0</w:t>
            </w:r>
            <w:r>
              <w:rPr>
                <w:rFonts w:hint="eastAsia" w:ascii="仿宋_GB2312" w:hAnsi="仿宋_GB2312" w:eastAsia="仿宋_GB2312" w:cs="仿宋_GB2312"/>
                <w:color w:val="000000"/>
                <w:kern w:val="0"/>
                <w:sz w:val="24"/>
                <w:szCs w:val="24"/>
              </w:rPr>
              <w:t>万平方米，到2030年，力争公共建筑改造后整体能效提升20%以上。</w:t>
            </w:r>
          </w:p>
        </w:tc>
        <w:tc>
          <w:tcPr>
            <w:tcW w:w="1187" w:type="dxa"/>
            <w:noWrap w:val="0"/>
            <w:vAlign w:val="center"/>
          </w:tcPr>
          <w:p>
            <w:pPr>
              <w:widowControl/>
              <w:adjustRightInd w:val="0"/>
              <w:snapToGrid w:val="0"/>
              <w:rPr>
                <w:rFonts w:eastAsia="仿宋_GB2312"/>
                <w:color w:val="000000"/>
                <w:kern w:val="0"/>
                <w:sz w:val="24"/>
                <w:szCs w:val="24"/>
              </w:rPr>
            </w:pPr>
            <w:r>
              <w:rPr>
                <w:rFonts w:hint="eastAsia" w:eastAsia="仿宋_GB2312"/>
                <w:color w:val="000000"/>
                <w:kern w:val="0"/>
                <w:sz w:val="24"/>
                <w:szCs w:val="24"/>
                <w:lang w:eastAsia="zh-CN"/>
              </w:rPr>
              <w:t>市</w:t>
            </w:r>
            <w:r>
              <w:rPr>
                <w:rFonts w:hint="eastAsia" w:eastAsia="仿宋_GB2312"/>
                <w:color w:val="000000"/>
                <w:kern w:val="0"/>
                <w:sz w:val="24"/>
                <w:szCs w:val="24"/>
              </w:rPr>
              <w:t>住房</w:t>
            </w:r>
            <w:r>
              <w:rPr>
                <w:rFonts w:hint="eastAsia" w:eastAsia="仿宋_GB2312"/>
                <w:color w:val="000000"/>
                <w:kern w:val="0"/>
                <w:sz w:val="24"/>
                <w:szCs w:val="24"/>
                <w:lang w:eastAsia="zh-CN"/>
              </w:rPr>
              <w:t>和</w:t>
            </w:r>
            <w:r>
              <w:rPr>
                <w:rFonts w:hint="eastAsia" w:eastAsia="仿宋_GB2312"/>
                <w:color w:val="000000"/>
                <w:kern w:val="0"/>
                <w:sz w:val="24"/>
                <w:szCs w:val="24"/>
              </w:rPr>
              <w:t>城乡建设</w:t>
            </w:r>
            <w:r>
              <w:rPr>
                <w:rFonts w:hint="eastAsia" w:eastAsia="仿宋_GB2312"/>
                <w:color w:val="000000"/>
                <w:kern w:val="0"/>
                <w:sz w:val="24"/>
                <w:szCs w:val="24"/>
                <w:lang w:eastAsia="zh-CN"/>
              </w:rPr>
              <w:t>局</w:t>
            </w:r>
          </w:p>
        </w:tc>
        <w:tc>
          <w:tcPr>
            <w:tcW w:w="2327" w:type="dxa"/>
            <w:noWrap w:val="0"/>
            <w:vAlign w:val="center"/>
          </w:tcPr>
          <w:p>
            <w:pPr>
              <w:widowControl/>
              <w:adjustRightInd w:val="0"/>
              <w:snapToGrid w:val="0"/>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22</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restart"/>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加快优化建筑用能结构</w:t>
            </w:r>
          </w:p>
        </w:tc>
        <w:tc>
          <w:tcPr>
            <w:tcW w:w="7166" w:type="dxa"/>
            <w:noWrap w:val="0"/>
            <w:vAlign w:val="center"/>
          </w:tcPr>
          <w:p>
            <w:pPr>
              <w:widowControl/>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积极发展城镇分布式光伏系统，重点推进工业厂房、商业楼宇、公共建筑等屋顶光伏建设，推动既有公共建筑屋顶加装太阳能光伏系统，到2025年新建公共机构建筑、工业厂房屋顶光伏覆盖率达到50%。</w:t>
            </w:r>
          </w:p>
        </w:tc>
        <w:tc>
          <w:tcPr>
            <w:tcW w:w="1187" w:type="dxa"/>
            <w:noWrap w:val="0"/>
            <w:vAlign w:val="center"/>
          </w:tcPr>
          <w:p>
            <w:pPr>
              <w:rPr>
                <w:kern w:val="0"/>
                <w:sz w:val="24"/>
                <w:szCs w:val="24"/>
              </w:rPr>
            </w:pPr>
            <w:r>
              <w:rPr>
                <w:rFonts w:hint="eastAsia" w:eastAsia="仿宋_GB2312"/>
                <w:color w:val="000000"/>
                <w:kern w:val="0"/>
                <w:sz w:val="24"/>
                <w:szCs w:val="24"/>
                <w:lang w:eastAsia="zh-CN"/>
              </w:rPr>
              <w:t>市</w:t>
            </w:r>
            <w:r>
              <w:rPr>
                <w:rFonts w:hint="eastAsia" w:eastAsia="仿宋_GB2312"/>
                <w:color w:val="000000"/>
                <w:kern w:val="0"/>
                <w:sz w:val="24"/>
                <w:szCs w:val="24"/>
              </w:rPr>
              <w:t>住房</w:t>
            </w:r>
            <w:r>
              <w:rPr>
                <w:rFonts w:hint="eastAsia" w:eastAsia="仿宋_GB2312"/>
                <w:color w:val="000000"/>
                <w:kern w:val="0"/>
                <w:sz w:val="24"/>
                <w:szCs w:val="24"/>
                <w:lang w:eastAsia="zh-CN"/>
              </w:rPr>
              <w:t>和</w:t>
            </w:r>
            <w:r>
              <w:rPr>
                <w:rFonts w:hint="eastAsia" w:eastAsia="仿宋_GB2312"/>
                <w:color w:val="000000"/>
                <w:kern w:val="0"/>
                <w:sz w:val="24"/>
                <w:szCs w:val="24"/>
              </w:rPr>
              <w:t>城乡建设</w:t>
            </w:r>
            <w:r>
              <w:rPr>
                <w:rFonts w:hint="eastAsia" w:eastAsia="仿宋_GB2312"/>
                <w:color w:val="000000"/>
                <w:kern w:val="0"/>
                <w:sz w:val="24"/>
                <w:szCs w:val="24"/>
                <w:lang w:eastAsia="zh-CN"/>
              </w:rPr>
              <w:t>局</w:t>
            </w:r>
          </w:p>
        </w:tc>
        <w:tc>
          <w:tcPr>
            <w:tcW w:w="2327" w:type="dxa"/>
            <w:noWrap w:val="0"/>
            <w:vAlign w:val="center"/>
          </w:tcPr>
          <w:p>
            <w:pPr>
              <w:widowControl/>
              <w:adjustRightInd w:val="0"/>
              <w:snapToGrid w:val="0"/>
              <w:rPr>
                <w:rFonts w:hint="eastAsia" w:eastAsia="仿宋_GB2312"/>
                <w:color w:val="000000"/>
                <w:kern w:val="0"/>
                <w:sz w:val="24"/>
                <w:szCs w:val="24"/>
                <w:lang w:eastAsia="zh-CN"/>
              </w:rPr>
            </w:pPr>
            <w:r>
              <w:rPr>
                <w:rFonts w:hint="eastAsia" w:ascii="仿宋_GB2312" w:hAnsi="微软雅黑" w:eastAsia="仿宋_GB2312" w:cs="仿宋_GB2312"/>
                <w:i w:val="0"/>
                <w:caps w:val="0"/>
                <w:color w:val="auto"/>
                <w:spacing w:val="0"/>
                <w:sz w:val="24"/>
                <w:szCs w:val="24"/>
                <w:lang w:val="en-US" w:eastAsia="zh-CN"/>
              </w:rPr>
              <w:t>市</w:t>
            </w:r>
            <w:r>
              <w:rPr>
                <w:rFonts w:ascii="仿宋_GB2312" w:hAnsi="微软雅黑" w:eastAsia="仿宋_GB2312" w:cs="仿宋_GB2312"/>
                <w:i w:val="0"/>
                <w:caps w:val="0"/>
                <w:color w:val="auto"/>
                <w:spacing w:val="0"/>
                <w:sz w:val="24"/>
                <w:szCs w:val="24"/>
              </w:rPr>
              <w:t>发展</w:t>
            </w:r>
            <w:r>
              <w:rPr>
                <w:rFonts w:hint="eastAsia" w:ascii="仿宋_GB2312" w:hAnsi="微软雅黑" w:eastAsia="仿宋_GB2312" w:cs="仿宋_GB2312"/>
                <w:i w:val="0"/>
                <w:caps w:val="0"/>
                <w:color w:val="auto"/>
                <w:spacing w:val="0"/>
                <w:sz w:val="24"/>
                <w:szCs w:val="24"/>
                <w:lang w:eastAsia="zh-CN"/>
              </w:rPr>
              <w:t>和</w:t>
            </w:r>
            <w:r>
              <w:rPr>
                <w:rFonts w:ascii="仿宋_GB2312" w:hAnsi="微软雅黑" w:eastAsia="仿宋_GB2312" w:cs="仿宋_GB2312"/>
                <w:i w:val="0"/>
                <w:caps w:val="0"/>
                <w:color w:val="auto"/>
                <w:spacing w:val="0"/>
                <w:sz w:val="24"/>
                <w:szCs w:val="24"/>
              </w:rPr>
              <w:t>改革</w:t>
            </w:r>
            <w:r>
              <w:rPr>
                <w:rFonts w:hint="eastAsia" w:ascii="仿宋_GB2312" w:hAnsi="微软雅黑" w:eastAsia="仿宋_GB2312" w:cs="仿宋_GB2312"/>
                <w:i w:val="0"/>
                <w:caps w:val="0"/>
                <w:color w:val="auto"/>
                <w:spacing w:val="0"/>
                <w:sz w:val="24"/>
                <w:szCs w:val="24"/>
                <w:lang w:eastAsia="zh-CN"/>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23</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到2025年，城镇建筑可再生能源替代常规能源消耗比例达到</w:t>
            </w:r>
            <w:r>
              <w:rPr>
                <w:rFonts w:hint="eastAsia" w:ascii="仿宋_GB2312" w:hAnsi="仿宋_GB2312" w:eastAsia="仿宋_GB2312" w:cs="仿宋_GB2312"/>
                <w:color w:val="000000"/>
                <w:kern w:val="0"/>
                <w:sz w:val="24"/>
                <w:szCs w:val="24"/>
                <w:u w:val="none"/>
              </w:rPr>
              <w:t>10%，</w:t>
            </w:r>
            <w:r>
              <w:rPr>
                <w:rFonts w:hint="eastAsia" w:ascii="仿宋_GB2312" w:hAnsi="仿宋_GB2312" w:eastAsia="仿宋_GB2312" w:cs="仿宋_GB2312"/>
                <w:color w:val="000000"/>
                <w:kern w:val="0"/>
                <w:sz w:val="24"/>
                <w:szCs w:val="24"/>
              </w:rPr>
              <w:t>到2030年达到</w:t>
            </w:r>
            <w:r>
              <w:rPr>
                <w:rFonts w:hint="eastAsia" w:ascii="仿宋_GB2312" w:hAnsi="仿宋_GB2312" w:eastAsia="仿宋_GB2312" w:cs="仿宋_GB2312"/>
                <w:color w:val="000000"/>
                <w:kern w:val="0"/>
                <w:sz w:val="24"/>
                <w:szCs w:val="24"/>
                <w:u w:val="none"/>
              </w:rPr>
              <w:t>12%</w:t>
            </w:r>
            <w:r>
              <w:rPr>
                <w:rFonts w:hint="eastAsia" w:ascii="仿宋_GB2312" w:hAnsi="仿宋_GB2312" w:eastAsia="仿宋_GB2312" w:cs="仿宋_GB2312"/>
                <w:color w:val="000000"/>
                <w:kern w:val="0"/>
                <w:sz w:val="24"/>
                <w:szCs w:val="24"/>
              </w:rPr>
              <w:t>。</w:t>
            </w:r>
          </w:p>
        </w:tc>
        <w:tc>
          <w:tcPr>
            <w:tcW w:w="1187" w:type="dxa"/>
            <w:noWrap w:val="0"/>
            <w:vAlign w:val="center"/>
          </w:tcPr>
          <w:p>
            <w:pPr>
              <w:widowControl/>
              <w:adjustRightInd w:val="0"/>
              <w:snapToGrid w:val="0"/>
              <w:rPr>
                <w:rFonts w:eastAsia="仿宋_GB2312"/>
                <w:color w:val="000000"/>
                <w:kern w:val="0"/>
                <w:sz w:val="24"/>
                <w:szCs w:val="24"/>
              </w:rPr>
            </w:pPr>
            <w:r>
              <w:rPr>
                <w:rFonts w:hint="eastAsia" w:eastAsia="仿宋_GB2312"/>
                <w:color w:val="000000"/>
                <w:kern w:val="0"/>
                <w:sz w:val="24"/>
                <w:szCs w:val="24"/>
                <w:lang w:eastAsia="zh-CN"/>
              </w:rPr>
              <w:t>市</w:t>
            </w:r>
            <w:r>
              <w:rPr>
                <w:rFonts w:hint="eastAsia" w:eastAsia="仿宋_GB2312"/>
                <w:color w:val="000000"/>
                <w:kern w:val="0"/>
                <w:sz w:val="24"/>
                <w:szCs w:val="24"/>
              </w:rPr>
              <w:t>住房</w:t>
            </w:r>
            <w:r>
              <w:rPr>
                <w:rFonts w:hint="eastAsia" w:eastAsia="仿宋_GB2312"/>
                <w:color w:val="000000"/>
                <w:kern w:val="0"/>
                <w:sz w:val="24"/>
                <w:szCs w:val="24"/>
                <w:lang w:eastAsia="zh-CN"/>
              </w:rPr>
              <w:t>和</w:t>
            </w:r>
            <w:r>
              <w:rPr>
                <w:rFonts w:hint="eastAsia" w:eastAsia="仿宋_GB2312"/>
                <w:color w:val="000000"/>
                <w:kern w:val="0"/>
                <w:sz w:val="24"/>
                <w:szCs w:val="24"/>
              </w:rPr>
              <w:t>城乡建设</w:t>
            </w:r>
            <w:r>
              <w:rPr>
                <w:rFonts w:hint="eastAsia" w:eastAsia="仿宋_GB2312"/>
                <w:color w:val="000000"/>
                <w:kern w:val="0"/>
                <w:sz w:val="24"/>
                <w:szCs w:val="24"/>
                <w:lang w:eastAsia="zh-CN"/>
              </w:rPr>
              <w:t>局</w:t>
            </w:r>
          </w:p>
        </w:tc>
        <w:tc>
          <w:tcPr>
            <w:tcW w:w="2327" w:type="dxa"/>
            <w:noWrap w:val="0"/>
            <w:vAlign w:val="center"/>
          </w:tcPr>
          <w:p>
            <w:pPr>
              <w:widowControl/>
              <w:adjustRightInd w:val="0"/>
              <w:snapToGrid w:val="0"/>
              <w:rPr>
                <w:rFonts w:eastAsia="仿宋_GB2312"/>
                <w:color w:val="000000"/>
                <w:kern w:val="0"/>
                <w:sz w:val="24"/>
                <w:szCs w:val="24"/>
              </w:rPr>
            </w:pPr>
            <w:r>
              <w:rPr>
                <w:rFonts w:hint="eastAsia" w:ascii="仿宋_GB2312" w:hAnsi="微软雅黑" w:eastAsia="仿宋_GB2312" w:cs="仿宋_GB2312"/>
                <w:i w:val="0"/>
                <w:caps w:val="0"/>
                <w:color w:val="auto"/>
                <w:spacing w:val="0"/>
                <w:sz w:val="24"/>
                <w:szCs w:val="24"/>
                <w:lang w:val="en-US" w:eastAsia="zh-CN"/>
              </w:rPr>
              <w:t>市</w:t>
            </w:r>
            <w:r>
              <w:rPr>
                <w:rFonts w:ascii="仿宋_GB2312" w:hAnsi="微软雅黑" w:eastAsia="仿宋_GB2312" w:cs="仿宋_GB2312"/>
                <w:i w:val="0"/>
                <w:caps w:val="0"/>
                <w:color w:val="auto"/>
                <w:spacing w:val="0"/>
                <w:sz w:val="24"/>
                <w:szCs w:val="24"/>
              </w:rPr>
              <w:t>发展</w:t>
            </w:r>
            <w:r>
              <w:rPr>
                <w:rFonts w:hint="eastAsia" w:ascii="仿宋_GB2312" w:hAnsi="微软雅黑" w:eastAsia="仿宋_GB2312" w:cs="仿宋_GB2312"/>
                <w:i w:val="0"/>
                <w:caps w:val="0"/>
                <w:color w:val="auto"/>
                <w:spacing w:val="0"/>
                <w:sz w:val="24"/>
                <w:szCs w:val="24"/>
                <w:lang w:eastAsia="zh-CN"/>
              </w:rPr>
              <w:t>和</w:t>
            </w:r>
            <w:r>
              <w:rPr>
                <w:rFonts w:ascii="仿宋_GB2312" w:hAnsi="微软雅黑" w:eastAsia="仿宋_GB2312" w:cs="仿宋_GB2312"/>
                <w:i w:val="0"/>
                <w:caps w:val="0"/>
                <w:color w:val="auto"/>
                <w:spacing w:val="0"/>
                <w:sz w:val="24"/>
                <w:szCs w:val="24"/>
              </w:rPr>
              <w:t>改革</w:t>
            </w:r>
            <w:r>
              <w:rPr>
                <w:rFonts w:hint="eastAsia" w:ascii="仿宋_GB2312" w:hAnsi="微软雅黑" w:eastAsia="仿宋_GB2312" w:cs="仿宋_GB2312"/>
                <w:i w:val="0"/>
                <w:caps w:val="0"/>
                <w:color w:val="auto"/>
                <w:spacing w:val="0"/>
                <w:sz w:val="24"/>
                <w:szCs w:val="24"/>
                <w:lang w:eastAsia="zh-CN"/>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24</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积极推进清洁能源供暖，到2030年清洁供暖比例达到</w:t>
            </w:r>
            <w:r>
              <w:rPr>
                <w:rFonts w:hint="eastAsia" w:ascii="仿宋_GB2312" w:hAnsi="仿宋_GB2312" w:eastAsia="仿宋_GB2312" w:cs="仿宋_GB2312"/>
                <w:color w:val="000000"/>
                <w:kern w:val="0"/>
                <w:sz w:val="24"/>
                <w:szCs w:val="24"/>
                <w:u w:val="none"/>
              </w:rPr>
              <w:t>85%</w:t>
            </w:r>
            <w:r>
              <w:rPr>
                <w:rFonts w:hint="eastAsia" w:ascii="仿宋_GB2312" w:hAnsi="仿宋_GB2312" w:eastAsia="仿宋_GB2312" w:cs="仿宋_GB2312"/>
                <w:color w:val="000000"/>
                <w:kern w:val="0"/>
                <w:sz w:val="24"/>
                <w:szCs w:val="24"/>
              </w:rPr>
              <w:t>以上。推动城市或区域余热综合利用，到2025年完成大容量高效机组余热供暖改造</w:t>
            </w:r>
            <w:r>
              <w:rPr>
                <w:rFonts w:hint="eastAsia" w:ascii="仿宋_GB2312" w:hAnsi="仿宋_GB2312" w:eastAsia="仿宋_GB2312" w:cs="仿宋_GB2312"/>
                <w:color w:val="000000"/>
                <w:kern w:val="0"/>
                <w:sz w:val="24"/>
                <w:szCs w:val="24"/>
                <w:u w:val="none"/>
              </w:rPr>
              <w:t>1</w:t>
            </w:r>
            <w:r>
              <w:rPr>
                <w:rFonts w:hint="eastAsia" w:ascii="仿宋_GB2312" w:hAnsi="仿宋_GB2312" w:eastAsia="仿宋_GB2312" w:cs="仿宋_GB2312"/>
                <w:color w:val="000000"/>
                <w:kern w:val="0"/>
                <w:sz w:val="24"/>
                <w:szCs w:val="24"/>
                <w:u w:val="none"/>
                <w:lang w:val="en-US" w:eastAsia="zh-CN"/>
              </w:rPr>
              <w:t>000万</w:t>
            </w:r>
            <w:r>
              <w:rPr>
                <w:rFonts w:hint="eastAsia" w:ascii="仿宋_GB2312" w:hAnsi="仿宋_GB2312" w:eastAsia="仿宋_GB2312" w:cs="仿宋_GB2312"/>
                <w:color w:val="000000"/>
                <w:kern w:val="0"/>
                <w:sz w:val="24"/>
                <w:szCs w:val="24"/>
              </w:rPr>
              <w:t>平方米。</w:t>
            </w:r>
          </w:p>
        </w:tc>
        <w:tc>
          <w:tcPr>
            <w:tcW w:w="1187" w:type="dxa"/>
            <w:noWrap w:val="0"/>
            <w:vAlign w:val="center"/>
          </w:tcPr>
          <w:p>
            <w:pPr>
              <w:widowControl/>
              <w:adjustRightInd w:val="0"/>
              <w:snapToGrid w:val="0"/>
              <w:rPr>
                <w:rFonts w:eastAsia="仿宋_GB2312"/>
                <w:color w:val="000000"/>
                <w:kern w:val="0"/>
                <w:sz w:val="24"/>
                <w:szCs w:val="24"/>
              </w:rPr>
            </w:pPr>
            <w:r>
              <w:rPr>
                <w:rFonts w:hint="eastAsia" w:eastAsia="仿宋_GB2312"/>
                <w:color w:val="000000"/>
                <w:kern w:val="0"/>
                <w:sz w:val="24"/>
                <w:szCs w:val="24"/>
                <w:lang w:eastAsia="zh-CN"/>
              </w:rPr>
              <w:t>市城市管理局</w:t>
            </w:r>
          </w:p>
        </w:tc>
        <w:tc>
          <w:tcPr>
            <w:tcW w:w="2327" w:type="dxa"/>
            <w:noWrap w:val="0"/>
            <w:vAlign w:val="center"/>
          </w:tcPr>
          <w:p>
            <w:pPr>
              <w:widowControl/>
              <w:adjustRightInd w:val="0"/>
              <w:snapToGrid w:val="0"/>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25</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逐步建立以电力为主的建筑能源消费体系，推动新建公共建筑全电气化设计。</w:t>
            </w:r>
          </w:p>
        </w:tc>
        <w:tc>
          <w:tcPr>
            <w:tcW w:w="1187" w:type="dxa"/>
            <w:noWrap w:val="0"/>
            <w:vAlign w:val="center"/>
          </w:tcPr>
          <w:p>
            <w:pPr>
              <w:widowControl/>
              <w:adjustRightInd w:val="0"/>
              <w:snapToGrid w:val="0"/>
              <w:rPr>
                <w:rFonts w:eastAsia="仿宋_GB2312"/>
                <w:color w:val="000000"/>
                <w:kern w:val="0"/>
                <w:sz w:val="24"/>
                <w:szCs w:val="24"/>
              </w:rPr>
            </w:pPr>
            <w:r>
              <w:rPr>
                <w:rFonts w:hint="eastAsia" w:eastAsia="仿宋_GB2312"/>
                <w:color w:val="000000"/>
                <w:kern w:val="0"/>
                <w:sz w:val="24"/>
                <w:szCs w:val="24"/>
                <w:lang w:eastAsia="zh-CN"/>
              </w:rPr>
              <w:t>市</w:t>
            </w:r>
            <w:r>
              <w:rPr>
                <w:rFonts w:hint="eastAsia" w:eastAsia="仿宋_GB2312"/>
                <w:color w:val="000000"/>
                <w:kern w:val="0"/>
                <w:sz w:val="24"/>
                <w:szCs w:val="24"/>
              </w:rPr>
              <w:t>住房</w:t>
            </w:r>
            <w:r>
              <w:rPr>
                <w:rFonts w:hint="eastAsia" w:eastAsia="仿宋_GB2312"/>
                <w:color w:val="000000"/>
                <w:kern w:val="0"/>
                <w:sz w:val="24"/>
                <w:szCs w:val="24"/>
                <w:lang w:eastAsia="zh-CN"/>
              </w:rPr>
              <w:t>和</w:t>
            </w:r>
            <w:r>
              <w:rPr>
                <w:rFonts w:hint="eastAsia" w:eastAsia="仿宋_GB2312"/>
                <w:color w:val="000000"/>
                <w:kern w:val="0"/>
                <w:sz w:val="24"/>
                <w:szCs w:val="24"/>
              </w:rPr>
              <w:t>城乡建设</w:t>
            </w:r>
            <w:r>
              <w:rPr>
                <w:rFonts w:hint="eastAsia" w:eastAsia="仿宋_GB2312"/>
                <w:color w:val="000000"/>
                <w:kern w:val="0"/>
                <w:sz w:val="24"/>
                <w:szCs w:val="24"/>
                <w:lang w:eastAsia="zh-CN"/>
              </w:rPr>
              <w:t>局</w:t>
            </w:r>
          </w:p>
        </w:tc>
        <w:tc>
          <w:tcPr>
            <w:tcW w:w="2327" w:type="dxa"/>
            <w:noWrap w:val="0"/>
            <w:vAlign w:val="center"/>
          </w:tcPr>
          <w:p>
            <w:pPr>
              <w:widowControl/>
              <w:adjustRightInd w:val="0"/>
              <w:snapToGrid w:val="0"/>
              <w:rPr>
                <w:rFonts w:eastAsia="仿宋_GB2312"/>
                <w:color w:val="000000"/>
                <w:kern w:val="0"/>
                <w:sz w:val="24"/>
                <w:szCs w:val="24"/>
              </w:rPr>
            </w:pPr>
            <w:r>
              <w:rPr>
                <w:rFonts w:hint="eastAsia" w:ascii="仿宋_GB2312" w:hAnsi="微软雅黑" w:eastAsia="仿宋_GB2312" w:cs="仿宋_GB2312"/>
                <w:i w:val="0"/>
                <w:caps w:val="0"/>
                <w:color w:val="auto"/>
                <w:spacing w:val="0"/>
                <w:sz w:val="24"/>
                <w:szCs w:val="24"/>
                <w:lang w:val="en-US" w:eastAsia="zh-CN"/>
              </w:rPr>
              <w:t>市</w:t>
            </w:r>
            <w:r>
              <w:rPr>
                <w:rFonts w:ascii="仿宋_GB2312" w:hAnsi="微软雅黑" w:eastAsia="仿宋_GB2312" w:cs="仿宋_GB2312"/>
                <w:i w:val="0"/>
                <w:caps w:val="0"/>
                <w:color w:val="auto"/>
                <w:spacing w:val="0"/>
                <w:sz w:val="24"/>
                <w:szCs w:val="24"/>
              </w:rPr>
              <w:t>发展</w:t>
            </w:r>
            <w:r>
              <w:rPr>
                <w:rFonts w:hint="eastAsia" w:ascii="仿宋_GB2312" w:hAnsi="微软雅黑" w:eastAsia="仿宋_GB2312" w:cs="仿宋_GB2312"/>
                <w:i w:val="0"/>
                <w:caps w:val="0"/>
                <w:color w:val="auto"/>
                <w:spacing w:val="0"/>
                <w:sz w:val="24"/>
                <w:szCs w:val="24"/>
                <w:lang w:eastAsia="zh-CN"/>
              </w:rPr>
              <w:t>和</w:t>
            </w:r>
            <w:r>
              <w:rPr>
                <w:rFonts w:ascii="仿宋_GB2312" w:hAnsi="微软雅黑" w:eastAsia="仿宋_GB2312" w:cs="仿宋_GB2312"/>
                <w:i w:val="0"/>
                <w:caps w:val="0"/>
                <w:color w:val="auto"/>
                <w:spacing w:val="0"/>
                <w:sz w:val="24"/>
                <w:szCs w:val="24"/>
              </w:rPr>
              <w:t>改革</w:t>
            </w:r>
            <w:r>
              <w:rPr>
                <w:rFonts w:hint="eastAsia" w:ascii="仿宋_GB2312" w:hAnsi="微软雅黑" w:eastAsia="仿宋_GB2312" w:cs="仿宋_GB2312"/>
                <w:i w:val="0"/>
                <w:caps w:val="0"/>
                <w:color w:val="auto"/>
                <w:spacing w:val="0"/>
                <w:sz w:val="24"/>
                <w:szCs w:val="24"/>
                <w:lang w:eastAsia="zh-CN"/>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26</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restart"/>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提升建筑绿色低碳运维水平</w:t>
            </w:r>
          </w:p>
        </w:tc>
        <w:tc>
          <w:tcPr>
            <w:tcW w:w="7166" w:type="dxa"/>
            <w:noWrap w:val="0"/>
            <w:vAlign w:val="center"/>
          </w:tcPr>
          <w:p>
            <w:pPr>
              <w:widowControl/>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统筹推进公共建筑能耗统计、能源审计、能耗监测等工作。</w:t>
            </w:r>
          </w:p>
        </w:tc>
        <w:tc>
          <w:tcPr>
            <w:tcW w:w="1187" w:type="dxa"/>
            <w:noWrap w:val="0"/>
            <w:vAlign w:val="center"/>
          </w:tcPr>
          <w:p>
            <w:pPr>
              <w:widowControl/>
              <w:adjustRightInd w:val="0"/>
              <w:snapToGrid w:val="0"/>
              <w:rPr>
                <w:rFonts w:eastAsia="仿宋_GB2312"/>
                <w:color w:val="000000"/>
                <w:kern w:val="0"/>
                <w:sz w:val="24"/>
                <w:szCs w:val="24"/>
              </w:rPr>
            </w:pPr>
            <w:r>
              <w:rPr>
                <w:rFonts w:hint="eastAsia" w:eastAsia="仿宋_GB2312"/>
                <w:color w:val="000000"/>
                <w:kern w:val="0"/>
                <w:sz w:val="24"/>
                <w:szCs w:val="24"/>
                <w:lang w:eastAsia="zh-CN"/>
              </w:rPr>
              <w:t>市</w:t>
            </w:r>
            <w:r>
              <w:rPr>
                <w:rFonts w:hint="eastAsia" w:eastAsia="仿宋_GB2312"/>
                <w:color w:val="000000"/>
                <w:kern w:val="0"/>
                <w:sz w:val="24"/>
                <w:szCs w:val="24"/>
              </w:rPr>
              <w:t>住房</w:t>
            </w:r>
            <w:r>
              <w:rPr>
                <w:rFonts w:hint="eastAsia" w:eastAsia="仿宋_GB2312"/>
                <w:color w:val="000000"/>
                <w:kern w:val="0"/>
                <w:sz w:val="24"/>
                <w:szCs w:val="24"/>
                <w:lang w:eastAsia="zh-CN"/>
              </w:rPr>
              <w:t>和</w:t>
            </w:r>
            <w:r>
              <w:rPr>
                <w:rFonts w:hint="eastAsia" w:eastAsia="仿宋_GB2312"/>
                <w:color w:val="000000"/>
                <w:kern w:val="0"/>
                <w:sz w:val="24"/>
                <w:szCs w:val="24"/>
              </w:rPr>
              <w:t>城乡建设</w:t>
            </w:r>
            <w:r>
              <w:rPr>
                <w:rFonts w:hint="eastAsia" w:eastAsia="仿宋_GB2312"/>
                <w:color w:val="000000"/>
                <w:kern w:val="0"/>
                <w:sz w:val="24"/>
                <w:szCs w:val="24"/>
                <w:lang w:eastAsia="zh-CN"/>
              </w:rPr>
              <w:t>局</w:t>
            </w:r>
          </w:p>
        </w:tc>
        <w:tc>
          <w:tcPr>
            <w:tcW w:w="2327" w:type="dxa"/>
            <w:noWrap w:val="0"/>
            <w:vAlign w:val="center"/>
          </w:tcPr>
          <w:p>
            <w:pPr>
              <w:widowControl/>
              <w:adjustRightInd w:val="0"/>
              <w:snapToGrid w:val="0"/>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27</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继续推进供热计量改革，提高供热计量收费比例，到2030年新建建筑和完成改造的既有建筑基本实现供热计量收费。</w:t>
            </w:r>
          </w:p>
        </w:tc>
        <w:tc>
          <w:tcPr>
            <w:tcW w:w="1187" w:type="dxa"/>
            <w:noWrap w:val="0"/>
            <w:vAlign w:val="center"/>
          </w:tcPr>
          <w:p>
            <w:pPr>
              <w:widowControl/>
              <w:adjustRightInd w:val="0"/>
              <w:snapToGrid w:val="0"/>
              <w:rPr>
                <w:rFonts w:eastAsia="仿宋_GB2312"/>
                <w:color w:val="000000"/>
                <w:kern w:val="0"/>
                <w:sz w:val="24"/>
                <w:szCs w:val="24"/>
              </w:rPr>
            </w:pPr>
            <w:r>
              <w:rPr>
                <w:rFonts w:hint="eastAsia" w:eastAsia="仿宋_GB2312"/>
                <w:color w:val="000000"/>
                <w:kern w:val="0"/>
                <w:sz w:val="24"/>
                <w:szCs w:val="24"/>
                <w:lang w:eastAsia="zh-CN"/>
              </w:rPr>
              <w:t>市城市管理局</w:t>
            </w:r>
          </w:p>
        </w:tc>
        <w:tc>
          <w:tcPr>
            <w:tcW w:w="2327" w:type="dxa"/>
            <w:noWrap w:val="0"/>
            <w:vAlign w:val="center"/>
          </w:tcPr>
          <w:p>
            <w:pPr>
              <w:widowControl/>
              <w:adjustRightInd w:val="0"/>
              <w:snapToGrid w:val="0"/>
              <w:rPr>
                <w:rFonts w:eastAsia="仿宋_GB2312"/>
                <w:color w:val="000000"/>
                <w:kern w:val="0"/>
                <w:sz w:val="24"/>
                <w:szCs w:val="24"/>
              </w:rPr>
            </w:pPr>
            <w:r>
              <w:rPr>
                <w:rFonts w:hint="eastAsia" w:ascii="仿宋_GB2312" w:hAnsi="微软雅黑" w:eastAsia="仿宋_GB2312" w:cs="仿宋_GB2312"/>
                <w:i w:val="0"/>
                <w:caps w:val="0"/>
                <w:color w:val="auto"/>
                <w:spacing w:val="0"/>
                <w:sz w:val="24"/>
                <w:szCs w:val="24"/>
                <w:lang w:val="en-US" w:eastAsia="zh-CN"/>
              </w:rPr>
              <w:t>市</w:t>
            </w:r>
            <w:r>
              <w:rPr>
                <w:rFonts w:ascii="仿宋_GB2312" w:hAnsi="微软雅黑" w:eastAsia="仿宋_GB2312" w:cs="仿宋_GB2312"/>
                <w:i w:val="0"/>
                <w:caps w:val="0"/>
                <w:color w:val="auto"/>
                <w:spacing w:val="0"/>
                <w:sz w:val="24"/>
                <w:szCs w:val="24"/>
              </w:rPr>
              <w:t>发展</w:t>
            </w:r>
            <w:r>
              <w:rPr>
                <w:rFonts w:hint="eastAsia" w:ascii="仿宋_GB2312" w:hAnsi="微软雅黑" w:eastAsia="仿宋_GB2312" w:cs="仿宋_GB2312"/>
                <w:i w:val="0"/>
                <w:caps w:val="0"/>
                <w:color w:val="auto"/>
                <w:spacing w:val="0"/>
                <w:sz w:val="24"/>
                <w:szCs w:val="24"/>
                <w:lang w:eastAsia="zh-CN"/>
              </w:rPr>
              <w:t>和</w:t>
            </w:r>
            <w:r>
              <w:rPr>
                <w:rFonts w:ascii="仿宋_GB2312" w:hAnsi="微软雅黑" w:eastAsia="仿宋_GB2312" w:cs="仿宋_GB2312"/>
                <w:i w:val="0"/>
                <w:caps w:val="0"/>
                <w:color w:val="auto"/>
                <w:spacing w:val="0"/>
                <w:sz w:val="24"/>
                <w:szCs w:val="24"/>
              </w:rPr>
              <w:t>改革</w:t>
            </w:r>
            <w:r>
              <w:rPr>
                <w:rFonts w:hint="eastAsia" w:ascii="仿宋_GB2312" w:hAnsi="微软雅黑" w:eastAsia="仿宋_GB2312" w:cs="仿宋_GB2312"/>
                <w:i w:val="0"/>
                <w:caps w:val="0"/>
                <w:color w:val="auto"/>
                <w:spacing w:val="0"/>
                <w:sz w:val="24"/>
                <w:szCs w:val="24"/>
                <w:lang w:eastAsia="zh-CN"/>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28</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加快推动老旧供热管网改造，降低热网输送损失，到2025年，城镇民用建筑单位面积综合供暖能耗比2020年降低20%以上，到2030年降低30%以上。</w:t>
            </w:r>
          </w:p>
        </w:tc>
        <w:tc>
          <w:tcPr>
            <w:tcW w:w="1187" w:type="dxa"/>
            <w:noWrap w:val="0"/>
            <w:vAlign w:val="center"/>
          </w:tcPr>
          <w:p>
            <w:pPr>
              <w:widowControl/>
              <w:adjustRightInd w:val="0"/>
              <w:snapToGrid w:val="0"/>
              <w:rPr>
                <w:rFonts w:eastAsia="仿宋_GB2312"/>
                <w:color w:val="000000"/>
                <w:kern w:val="0"/>
                <w:sz w:val="24"/>
                <w:szCs w:val="24"/>
              </w:rPr>
            </w:pPr>
            <w:r>
              <w:rPr>
                <w:rFonts w:hint="eastAsia" w:eastAsia="仿宋_GB2312"/>
                <w:color w:val="000000"/>
                <w:kern w:val="0"/>
                <w:sz w:val="24"/>
                <w:szCs w:val="24"/>
                <w:lang w:eastAsia="zh-CN"/>
              </w:rPr>
              <w:t>市城市管理局</w:t>
            </w:r>
          </w:p>
        </w:tc>
        <w:tc>
          <w:tcPr>
            <w:tcW w:w="2327" w:type="dxa"/>
            <w:noWrap w:val="0"/>
            <w:vAlign w:val="center"/>
          </w:tcPr>
          <w:p>
            <w:pPr>
              <w:widowControl/>
              <w:adjustRightInd w:val="0"/>
              <w:snapToGrid w:val="0"/>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29</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restart"/>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推广绿色低碳建造方式</w:t>
            </w:r>
          </w:p>
        </w:tc>
        <w:tc>
          <w:tcPr>
            <w:tcW w:w="7166" w:type="dxa"/>
            <w:noWrap w:val="0"/>
            <w:vAlign w:val="center"/>
          </w:tcPr>
          <w:p>
            <w:pPr>
              <w:widowControl/>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到2025年，全</w:t>
            </w:r>
            <w:r>
              <w:rPr>
                <w:rFonts w:hint="eastAsia" w:ascii="仿宋_GB2312" w:hAnsi="仿宋_GB2312" w:eastAsia="仿宋_GB2312" w:cs="仿宋_GB2312"/>
                <w:color w:val="000000"/>
                <w:kern w:val="0"/>
                <w:sz w:val="24"/>
                <w:szCs w:val="24"/>
                <w:lang w:val="en-US" w:eastAsia="zh-CN"/>
              </w:rPr>
              <w:t>市</w:t>
            </w:r>
            <w:r>
              <w:rPr>
                <w:rFonts w:hint="eastAsia" w:ascii="仿宋_GB2312" w:hAnsi="仿宋_GB2312" w:eastAsia="仿宋_GB2312" w:cs="仿宋_GB2312"/>
                <w:color w:val="000000"/>
                <w:kern w:val="0"/>
                <w:sz w:val="24"/>
                <w:szCs w:val="24"/>
              </w:rPr>
              <w:t>新开工装配式建筑占当年城镇新建建筑的比例达到</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eastAsia="zh-CN"/>
              </w:rPr>
              <w:t>以上</w:t>
            </w:r>
            <w:r>
              <w:rPr>
                <w:rFonts w:hint="eastAsia" w:ascii="仿宋_GB2312" w:hAnsi="仿宋_GB2312" w:eastAsia="仿宋_GB2312" w:cs="仿宋_GB2312"/>
                <w:color w:val="000000"/>
                <w:kern w:val="0"/>
                <w:sz w:val="24"/>
                <w:szCs w:val="24"/>
              </w:rPr>
              <w:t>。</w:t>
            </w:r>
          </w:p>
        </w:tc>
        <w:tc>
          <w:tcPr>
            <w:tcW w:w="1187" w:type="dxa"/>
            <w:noWrap w:val="0"/>
            <w:vAlign w:val="center"/>
          </w:tcPr>
          <w:p>
            <w:pPr>
              <w:widowControl/>
              <w:adjustRightInd w:val="0"/>
              <w:snapToGrid w:val="0"/>
              <w:rPr>
                <w:rFonts w:eastAsia="仿宋_GB2312"/>
                <w:color w:val="000000"/>
                <w:kern w:val="0"/>
                <w:sz w:val="24"/>
                <w:szCs w:val="24"/>
              </w:rPr>
            </w:pPr>
            <w:r>
              <w:rPr>
                <w:rFonts w:hint="eastAsia" w:eastAsia="仿宋_GB2312"/>
                <w:color w:val="000000"/>
                <w:kern w:val="0"/>
                <w:sz w:val="24"/>
                <w:szCs w:val="24"/>
                <w:lang w:eastAsia="zh-CN"/>
              </w:rPr>
              <w:t>市</w:t>
            </w:r>
            <w:r>
              <w:rPr>
                <w:rFonts w:hint="eastAsia" w:eastAsia="仿宋_GB2312"/>
                <w:color w:val="000000"/>
                <w:kern w:val="0"/>
                <w:sz w:val="24"/>
                <w:szCs w:val="24"/>
              </w:rPr>
              <w:t>住房</w:t>
            </w:r>
            <w:r>
              <w:rPr>
                <w:rFonts w:hint="eastAsia" w:eastAsia="仿宋_GB2312"/>
                <w:color w:val="000000"/>
                <w:kern w:val="0"/>
                <w:sz w:val="24"/>
                <w:szCs w:val="24"/>
                <w:lang w:eastAsia="zh-CN"/>
              </w:rPr>
              <w:t>和</w:t>
            </w:r>
            <w:r>
              <w:rPr>
                <w:rFonts w:hint="eastAsia" w:eastAsia="仿宋_GB2312"/>
                <w:color w:val="000000"/>
                <w:kern w:val="0"/>
                <w:sz w:val="24"/>
                <w:szCs w:val="24"/>
              </w:rPr>
              <w:t>城乡建设</w:t>
            </w:r>
            <w:r>
              <w:rPr>
                <w:rFonts w:hint="eastAsia" w:eastAsia="仿宋_GB2312"/>
                <w:color w:val="000000"/>
                <w:kern w:val="0"/>
                <w:sz w:val="24"/>
                <w:szCs w:val="24"/>
                <w:lang w:eastAsia="zh-CN"/>
              </w:rPr>
              <w:t>局</w:t>
            </w:r>
          </w:p>
        </w:tc>
        <w:tc>
          <w:tcPr>
            <w:tcW w:w="2327" w:type="dxa"/>
            <w:noWrap w:val="0"/>
            <w:vAlign w:val="center"/>
          </w:tcPr>
          <w:p>
            <w:pPr>
              <w:widowControl/>
              <w:adjustRightInd w:val="0"/>
              <w:snapToGrid w:val="0"/>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30</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continue"/>
            <w:noWrap w:val="0"/>
            <w:vAlign w:val="center"/>
          </w:tcPr>
          <w:p>
            <w:pPr>
              <w:widowControl/>
              <w:adjustRightInd w:val="0"/>
              <w:snapToGrid w:val="0"/>
              <w:rPr>
                <w:rFonts w:ascii="楷体" w:hAnsi="楷体" w:eastAsia="楷体" w:cs="楷体"/>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大建筑信息模型（BIM）、物联网、云计算、大数据、5G、区块链等信息技术的集成与创新应用，推广人工智能、建筑机器人等智能建造技术，开展智慧工地创建活动，创建国家智能建造试点，推动智能建造与新型建筑工业化协同发展，到2025年，建筑产业互联网平台初步建立。</w:t>
            </w:r>
          </w:p>
        </w:tc>
        <w:tc>
          <w:tcPr>
            <w:tcW w:w="1187" w:type="dxa"/>
            <w:noWrap w:val="0"/>
            <w:vAlign w:val="center"/>
          </w:tcPr>
          <w:p>
            <w:pPr>
              <w:widowControl/>
              <w:adjustRightInd w:val="0"/>
              <w:snapToGrid w:val="0"/>
              <w:rPr>
                <w:rFonts w:eastAsia="仿宋_GB2312"/>
                <w:color w:val="000000"/>
                <w:kern w:val="0"/>
                <w:sz w:val="24"/>
              </w:rPr>
            </w:pPr>
            <w:r>
              <w:rPr>
                <w:rFonts w:hint="eastAsia" w:eastAsia="仿宋_GB2312"/>
                <w:color w:val="000000"/>
                <w:kern w:val="0"/>
                <w:sz w:val="24"/>
                <w:lang w:eastAsia="zh-CN"/>
              </w:rPr>
              <w:t>市</w:t>
            </w:r>
            <w:r>
              <w:rPr>
                <w:rFonts w:hint="eastAsia" w:eastAsia="仿宋_GB2312"/>
                <w:color w:val="000000"/>
                <w:kern w:val="0"/>
                <w:sz w:val="24"/>
              </w:rPr>
              <w:t>住房</w:t>
            </w:r>
            <w:r>
              <w:rPr>
                <w:rFonts w:hint="eastAsia" w:eastAsia="仿宋_GB2312"/>
                <w:color w:val="000000"/>
                <w:kern w:val="0"/>
                <w:sz w:val="24"/>
                <w:lang w:eastAsia="zh-CN"/>
              </w:rPr>
              <w:t>和</w:t>
            </w:r>
            <w:r>
              <w:rPr>
                <w:rFonts w:hint="eastAsia" w:eastAsia="仿宋_GB2312"/>
                <w:color w:val="000000"/>
                <w:kern w:val="0"/>
                <w:sz w:val="24"/>
              </w:rPr>
              <w:t>城乡建设</w:t>
            </w:r>
            <w:r>
              <w:rPr>
                <w:rFonts w:hint="eastAsia" w:eastAsia="仿宋_GB2312"/>
                <w:color w:val="000000"/>
                <w:kern w:val="0"/>
                <w:sz w:val="24"/>
                <w:lang w:eastAsia="zh-CN"/>
              </w:rPr>
              <w:t>局</w:t>
            </w:r>
          </w:p>
        </w:tc>
        <w:tc>
          <w:tcPr>
            <w:tcW w:w="2327" w:type="dxa"/>
            <w:noWrap w:val="0"/>
            <w:vAlign w:val="center"/>
          </w:tcPr>
          <w:p>
            <w:pPr>
              <w:widowControl/>
              <w:adjustRightInd w:val="0"/>
              <w:snapToGrid w:val="0"/>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31</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continue"/>
            <w:noWrap w:val="0"/>
            <w:vAlign w:val="center"/>
          </w:tcPr>
          <w:p>
            <w:pPr>
              <w:widowControl/>
              <w:adjustRightInd w:val="0"/>
              <w:snapToGrid w:val="0"/>
              <w:rPr>
                <w:rFonts w:ascii="楷体" w:hAnsi="楷体" w:eastAsia="楷体" w:cs="楷体"/>
                <w:color w:val="000000"/>
                <w:kern w:val="0"/>
                <w:sz w:val="24"/>
              </w:rPr>
            </w:pPr>
          </w:p>
        </w:tc>
        <w:tc>
          <w:tcPr>
            <w:tcW w:w="7166" w:type="dxa"/>
            <w:noWrap w:val="0"/>
            <w:vAlign w:val="center"/>
          </w:tcPr>
          <w:p>
            <w:pPr>
              <w:widowControl/>
              <w:adjustRightInd w:val="0"/>
              <w:snapToGrid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全面推行绿色施工，减少能源资源消耗和建筑材料损耗，到2025年，城镇新建建筑和市政基础设施全部采用绿色施工方式；到2030年，施工现场建筑材料损耗率比2020年降低20%。</w:t>
            </w:r>
          </w:p>
        </w:tc>
        <w:tc>
          <w:tcPr>
            <w:tcW w:w="1187" w:type="dxa"/>
            <w:noWrap w:val="0"/>
            <w:vAlign w:val="center"/>
          </w:tcPr>
          <w:p>
            <w:pPr>
              <w:widowControl/>
              <w:adjustRightInd w:val="0"/>
              <w:snapToGrid w:val="0"/>
              <w:rPr>
                <w:rFonts w:eastAsia="仿宋_GB2312"/>
                <w:color w:val="000000"/>
                <w:kern w:val="0"/>
                <w:sz w:val="24"/>
              </w:rPr>
            </w:pPr>
            <w:r>
              <w:rPr>
                <w:rFonts w:hint="eastAsia" w:eastAsia="仿宋_GB2312"/>
                <w:color w:val="000000"/>
                <w:kern w:val="0"/>
                <w:sz w:val="24"/>
                <w:lang w:eastAsia="zh-CN"/>
              </w:rPr>
              <w:t>市</w:t>
            </w:r>
            <w:r>
              <w:rPr>
                <w:rFonts w:hint="eastAsia" w:eastAsia="仿宋_GB2312"/>
                <w:color w:val="000000"/>
                <w:kern w:val="0"/>
                <w:sz w:val="24"/>
              </w:rPr>
              <w:t>住房</w:t>
            </w:r>
            <w:r>
              <w:rPr>
                <w:rFonts w:hint="eastAsia" w:eastAsia="仿宋_GB2312"/>
                <w:color w:val="000000"/>
                <w:kern w:val="0"/>
                <w:sz w:val="24"/>
                <w:lang w:eastAsia="zh-CN"/>
              </w:rPr>
              <w:t>和</w:t>
            </w:r>
            <w:r>
              <w:rPr>
                <w:rFonts w:hint="eastAsia" w:eastAsia="仿宋_GB2312"/>
                <w:color w:val="000000"/>
                <w:kern w:val="0"/>
                <w:sz w:val="24"/>
              </w:rPr>
              <w:t>城乡建设</w:t>
            </w:r>
            <w:r>
              <w:rPr>
                <w:rFonts w:hint="eastAsia" w:eastAsia="仿宋_GB2312"/>
                <w:color w:val="000000"/>
                <w:kern w:val="0"/>
                <w:sz w:val="24"/>
                <w:lang w:eastAsia="zh-CN"/>
              </w:rPr>
              <w:t>局</w:t>
            </w:r>
          </w:p>
        </w:tc>
        <w:tc>
          <w:tcPr>
            <w:tcW w:w="2327" w:type="dxa"/>
            <w:noWrap w:val="0"/>
            <w:vAlign w:val="center"/>
          </w:tcPr>
          <w:p>
            <w:pPr>
              <w:widowControl/>
              <w:adjustRightInd w:val="0"/>
              <w:snapToGrid w:val="0"/>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32</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restart"/>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发展应用绿色低碳建材</w:t>
            </w: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加强</w:t>
            </w:r>
            <w:r>
              <w:rPr>
                <w:rFonts w:hint="eastAsia" w:ascii="仿宋_GB2312" w:hAnsi="仿宋_GB2312" w:eastAsia="仿宋_GB2312" w:cs="仿宋_GB2312"/>
                <w:color w:val="000000"/>
                <w:kern w:val="0"/>
                <w:sz w:val="24"/>
              </w:rPr>
              <w:t>国家政府采购支持绿色建材促进建筑品质提升城市政策实施，推动政府投资项目及星级绿色建筑、装配式建筑等率先采用绿色建材产品，开展绿色建材应用示范工程建设。</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财政</w:t>
            </w:r>
            <w:r>
              <w:rPr>
                <w:rFonts w:hint="eastAsia" w:ascii="仿宋_GB2312" w:hAnsi="仿宋_GB2312" w:eastAsia="仿宋_GB2312" w:cs="仿宋_GB2312"/>
                <w:color w:val="000000"/>
                <w:kern w:val="0"/>
                <w:sz w:val="24"/>
                <w:lang w:eastAsia="zh-CN"/>
              </w:rPr>
              <w:t>局</w:t>
            </w:r>
            <w:r>
              <w:rPr>
                <w:rFonts w:hint="eastAsia"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lang w:eastAsia="zh-CN"/>
              </w:rPr>
              <w:t>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noWrap w:val="0"/>
            <w:vAlign w:val="center"/>
          </w:tcPr>
          <w:p>
            <w:pPr>
              <w:pStyle w:val="7"/>
              <w:widowControl/>
              <w:adjustRightInd w:val="0"/>
              <w:snapToGrid w:val="0"/>
              <w:ind w:firstLine="0" w:firstLineChars="0"/>
              <w:jc w:val="center"/>
              <w:rPr>
                <w:rFonts w:eastAsia="仿宋_GB2312"/>
                <w:color w:val="000000"/>
                <w:kern w:val="0"/>
                <w:sz w:val="24"/>
              </w:rPr>
            </w:pPr>
            <w:r>
              <w:rPr>
                <w:rFonts w:hint="eastAsia" w:eastAsia="仿宋_GB2312"/>
                <w:color w:val="000000"/>
                <w:kern w:val="0"/>
                <w:sz w:val="24"/>
              </w:rPr>
              <w:t>33</w:t>
            </w:r>
          </w:p>
        </w:tc>
        <w:tc>
          <w:tcPr>
            <w:tcW w:w="1258" w:type="dxa"/>
            <w:vMerge w:val="continue"/>
            <w:noWrap w:val="0"/>
            <w:vAlign w:val="center"/>
          </w:tcPr>
          <w:p>
            <w:pPr>
              <w:widowControl/>
              <w:adjustRightInd w:val="0"/>
              <w:snapToGrid w:val="0"/>
              <w:jc w:val="center"/>
              <w:rPr>
                <w:rFonts w:eastAsia="仿宋_GB2312"/>
                <w:color w:val="000000"/>
                <w:kern w:val="0"/>
                <w:sz w:val="24"/>
              </w:rPr>
            </w:pPr>
          </w:p>
        </w:tc>
        <w:tc>
          <w:tcPr>
            <w:tcW w:w="1478" w:type="dxa"/>
            <w:vMerge w:val="continue"/>
            <w:noWrap w:val="0"/>
            <w:vAlign w:val="center"/>
          </w:tcPr>
          <w:p>
            <w:pPr>
              <w:widowControl/>
              <w:adjustRightInd w:val="0"/>
              <w:snapToGrid w:val="0"/>
              <w:rPr>
                <w:rFonts w:hint="eastAsia" w:ascii="仿宋_GB2312" w:hAnsi="仿宋_GB2312" w:eastAsia="仿宋_GB2312" w:cs="仿宋_GB2312"/>
                <w:b/>
                <w:bCs/>
                <w:color w:val="000000"/>
                <w:kern w:val="0"/>
                <w:sz w:val="24"/>
              </w:rPr>
            </w:pPr>
          </w:p>
        </w:tc>
        <w:tc>
          <w:tcPr>
            <w:tcW w:w="7166"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推进建筑垃圾集中处理、分类收集、资源化利用，推广建筑垃圾再生利用产品，提高建材循环利用率和建筑垃圾资源化利用比例，到2025年，新建建筑施工现场建筑垃圾排放量不高于300吨/万平方米，装配式建筑施工现场建筑垃圾排放量不高于200吨/万平方米；到2030年，建筑垃圾资源化利用比例达到55%。</w:t>
            </w:r>
          </w:p>
        </w:tc>
        <w:tc>
          <w:tcPr>
            <w:tcW w:w="1187" w:type="dxa"/>
            <w:noWrap w:val="0"/>
            <w:vAlign w:val="center"/>
          </w:tcPr>
          <w:p>
            <w:pPr>
              <w:widowControl/>
              <w:adjustRightInd w:val="0"/>
              <w:snapToGrid w:val="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市城市管理局、市</w:t>
            </w:r>
            <w:r>
              <w:rPr>
                <w:rFonts w:hint="eastAsia" w:ascii="仿宋_GB2312" w:hAnsi="仿宋_GB2312" w:eastAsia="仿宋_GB2312" w:cs="仿宋_GB2312"/>
                <w:color w:val="000000"/>
                <w:kern w:val="0"/>
                <w:sz w:val="24"/>
              </w:rPr>
              <w:t>住房</w:t>
            </w:r>
            <w:r>
              <w:rPr>
                <w:rFonts w:hint="eastAsia" w:ascii="仿宋_GB2312" w:hAnsi="仿宋_GB2312" w:eastAsia="仿宋_GB2312" w:cs="仿宋_GB2312"/>
                <w:color w:val="000000"/>
                <w:kern w:val="0"/>
                <w:sz w:val="24"/>
                <w:lang w:eastAsia="zh-CN"/>
              </w:rPr>
              <w:t>和</w:t>
            </w:r>
            <w:r>
              <w:rPr>
                <w:rFonts w:hint="eastAsia" w:ascii="仿宋_GB2312" w:hAnsi="仿宋_GB2312" w:eastAsia="仿宋_GB2312" w:cs="仿宋_GB2312"/>
                <w:color w:val="000000"/>
                <w:kern w:val="0"/>
                <w:sz w:val="24"/>
              </w:rPr>
              <w:t>城乡建设</w:t>
            </w:r>
            <w:r>
              <w:rPr>
                <w:rFonts w:hint="eastAsia" w:ascii="仿宋_GB2312" w:hAnsi="仿宋_GB2312" w:eastAsia="仿宋_GB2312" w:cs="仿宋_GB2312"/>
                <w:color w:val="000000"/>
                <w:kern w:val="0"/>
                <w:sz w:val="24"/>
                <w:lang w:eastAsia="zh-CN"/>
              </w:rPr>
              <w:t>局</w:t>
            </w:r>
          </w:p>
        </w:tc>
        <w:tc>
          <w:tcPr>
            <w:tcW w:w="2327" w:type="dxa"/>
            <w:noWrap w:val="0"/>
            <w:vAlign w:val="center"/>
          </w:tcPr>
          <w:p>
            <w:pPr>
              <w:widowControl/>
              <w:adjustRightInd w:val="0"/>
              <w:snapToGrid w:val="0"/>
              <w:rPr>
                <w:rFonts w:hint="eastAsia" w:ascii="仿宋_GB2312" w:hAnsi="仿宋_GB2312" w:eastAsia="仿宋_GB2312" w:cs="仿宋_GB2312"/>
                <w:color w:val="000000"/>
                <w:kern w:val="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OGFmN2Y5Y2FkYjFmOGM5ZDdhYzk1YWE2YzVhMTYifQ=="/>
  </w:docVars>
  <w:rsids>
    <w:rsidRoot w:val="00EC5567"/>
    <w:rsid w:val="00EC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table" w:styleId="5">
    <w:name w:val="Table Grid"/>
    <w:basedOn w:val="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3173</Words>
  <Characters>3398</Characters>
  <Lines>0</Lines>
  <Paragraphs>0</Paragraphs>
  <TotalTime>0</TotalTime>
  <ScaleCrop>false</ScaleCrop>
  <LinksUpToDate>false</LinksUpToDate>
  <CharactersWithSpaces>3399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2023-06-29T06:35:00Z</dcterms:created>
  <dc:creator>木子</dc:creator>
  <cp:lastModifiedBy>木子</cp:lastModifiedBy>
  <dcterms:modified xsi:type="dcterms:W3CDTF">2023-06-29T06:36:43Z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554D018D0AAF445884C31BE08D13C4CE_11</vt:lpwstr>
  </property>
</Properties>
</file>